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0"/>
        </w:tabs>
        <w:spacing w:after="0"/>
        <w:rPr>
          <w:rFonts w:hint="default"/>
          <w:sz w:val="22"/>
          <w:szCs w:val="22"/>
          <w:lang w:val="en-US" w:eastAsia="zh-CN"/>
        </w:rPr>
      </w:pPr>
      <w:bookmarkStart w:id="0" w:name="_Ref494746248"/>
      <w:r>
        <w:rPr>
          <w:rFonts w:ascii="Arial" w:hAnsi="Arial" w:cs="Arial"/>
          <w:b/>
          <w:sz w:val="22"/>
          <w:szCs w:val="22"/>
        </w:rPr>
        <w:t xml:space="preserve">3GPP TSG RAN WG1 Meeting </w:t>
      </w:r>
      <w:r>
        <w:rPr>
          <w:rFonts w:ascii="Arial" w:hAnsi="Arial" w:cs="Arial"/>
          <w:b/>
          <w:sz w:val="22"/>
          <w:szCs w:val="22"/>
          <w:lang w:eastAsia="zh-CN"/>
        </w:rPr>
        <w:t>#1</w:t>
      </w:r>
      <w:r>
        <w:rPr>
          <w:rFonts w:hint="eastAsia" w:ascii="Arial" w:hAnsi="Arial" w:cs="Arial"/>
          <w:b/>
          <w:sz w:val="22"/>
          <w:szCs w:val="22"/>
          <w:lang w:eastAsia="zh-CN"/>
        </w:rPr>
        <w:t>10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</w:rPr>
        <w:t>R1-220595</w:t>
      </w:r>
      <w:r>
        <w:rPr>
          <w:rFonts w:hint="default" w:ascii="Arial" w:hAnsi="Arial" w:cs="Arial"/>
          <w:b/>
          <w:sz w:val="22"/>
          <w:szCs w:val="22"/>
          <w:lang w:val="en-US"/>
        </w:rPr>
        <w:t>4</w:t>
      </w:r>
    </w:p>
    <w:p>
      <w:pPr>
        <w:tabs>
          <w:tab w:val="right" w:pos="9630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hint="eastAsia" w:ascii="Arial" w:hAnsi="Arial" w:eastAsia="MS Mincho" w:cs="Arial"/>
          <w:b/>
          <w:bCs/>
          <w:sz w:val="22"/>
          <w:szCs w:val="16"/>
          <w:lang w:eastAsia="ja-JP"/>
        </w:rPr>
        <w:t>Toulouse, France, August 22</w:t>
      </w:r>
      <w:r>
        <w:rPr>
          <w:rFonts w:hint="eastAsia" w:ascii="Arial" w:hAnsi="Arial" w:eastAsia="MS Mincho" w:cs="Arial"/>
          <w:b/>
          <w:bCs/>
          <w:sz w:val="22"/>
          <w:szCs w:val="16"/>
          <w:vertAlign w:val="superscript"/>
          <w:lang w:eastAsia="ja-JP"/>
        </w:rPr>
        <w:t>nd</w:t>
      </w:r>
      <w:r>
        <w:rPr>
          <w:rFonts w:hint="eastAsia" w:ascii="Arial" w:hAnsi="Arial" w:eastAsia="MS Mincho" w:cs="Arial"/>
          <w:b/>
          <w:bCs/>
          <w:sz w:val="22"/>
          <w:szCs w:val="16"/>
          <w:lang w:eastAsia="ja-JP"/>
        </w:rPr>
        <w:t xml:space="preserve"> – 26</w:t>
      </w:r>
      <w:r>
        <w:rPr>
          <w:rFonts w:hint="eastAsia" w:ascii="Arial" w:hAnsi="Arial" w:eastAsia="MS Mincho" w:cs="Arial"/>
          <w:b/>
          <w:bCs/>
          <w:sz w:val="22"/>
          <w:szCs w:val="16"/>
          <w:vertAlign w:val="superscript"/>
          <w:lang w:eastAsia="ja-JP"/>
        </w:rPr>
        <w:t>th</w:t>
      </w:r>
      <w:r>
        <w:rPr>
          <w:rFonts w:hint="eastAsia" w:ascii="Arial" w:hAnsi="Arial" w:eastAsia="MS Mincho" w:cs="Arial"/>
          <w:b/>
          <w:bCs/>
          <w:sz w:val="22"/>
          <w:szCs w:val="16"/>
          <w:lang w:eastAsia="ja-JP"/>
        </w:rPr>
        <w:t>, 2022</w:t>
      </w:r>
    </w:p>
    <w:p>
      <w:pPr>
        <w:pStyle w:val="37"/>
        <w:jc w:val="both"/>
      </w:pPr>
    </w:p>
    <w:p>
      <w:pPr>
        <w:tabs>
          <w:tab w:val="left" w:pos="1985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ZTE</w:t>
      </w:r>
    </w:p>
    <w:p>
      <w:pPr>
        <w:spacing w:after="0"/>
        <w:ind w:left="1988" w:hanging="1988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</w:rPr>
        <w:t>Discussion on UE behavior of restarting DMRS bundling</w:t>
      </w:r>
    </w:p>
    <w:p>
      <w:pPr>
        <w:tabs>
          <w:tab w:val="left" w:pos="1985"/>
        </w:tabs>
        <w:spacing w:after="0"/>
        <w:rPr>
          <w:rFonts w:hint="default"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default" w:ascii="Arial" w:hAnsi="Arial"/>
          <w:b/>
          <w:lang w:val="en-US" w:eastAsia="zh-CN"/>
        </w:rPr>
        <w:t>8.8</w:t>
      </w:r>
    </w:p>
    <w:p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1" w:name="DocumentFor"/>
      <w:bookmarkEnd w:id="1"/>
      <w:r>
        <w:rPr>
          <w:rFonts w:hint="eastAsia" w:ascii="Arial" w:hAnsi="Arial"/>
          <w:b/>
        </w:rPr>
        <w:t>Discussion and Decision</w:t>
      </w:r>
    </w:p>
    <w:p>
      <w:pPr>
        <w:pStyle w:val="2"/>
        <w:textAlignment w:val="auto"/>
      </w:pPr>
      <w:bookmarkStart w:id="2" w:name="_Ref4817"/>
      <w:r>
        <w:t>Introduction</w:t>
      </w:r>
      <w:bookmarkEnd w:id="0"/>
      <w:bookmarkEnd w:id="2"/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>In this</w:t>
      </w:r>
      <w:r>
        <w:rPr>
          <w:rFonts w:hint="default"/>
          <w:lang w:val="en-US" w:eastAsia="zh-CN"/>
        </w:rPr>
        <w:t xml:space="preserve"> contribution, our views on the </w:t>
      </w:r>
      <w:r>
        <w:rPr>
          <w:rFonts w:hint="eastAsia"/>
          <w:lang w:val="en-US" w:eastAsia="zh-CN"/>
        </w:rPr>
        <w:t xml:space="preserve">remaining issue of restarting DMRS bundling </w:t>
      </w:r>
      <w:r>
        <w:rPr>
          <w:rFonts w:hint="default"/>
          <w:lang w:val="en-US" w:eastAsia="zh-CN"/>
        </w:rPr>
        <w:t>after a dynamic or semi-static event</w:t>
      </w:r>
      <w:r>
        <w:rPr>
          <w:rFonts w:hint="eastAsia"/>
          <w:lang w:val="en-US" w:eastAsia="zh-CN"/>
        </w:rPr>
        <w:t xml:space="preserve"> are provided. </w:t>
      </w:r>
    </w:p>
    <w:p>
      <w:pPr>
        <w:pStyle w:val="2"/>
        <w:rPr>
          <w:lang w:val="en-US" w:eastAsia="zh-CN"/>
        </w:rPr>
      </w:pPr>
      <w:r>
        <w:rPr>
          <w:lang w:eastAsia="zh-CN"/>
        </w:rPr>
        <w:t>Discussion</w:t>
      </w:r>
    </w:p>
    <w:p>
      <w:pPr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For the UE behavior on restarting DMRS bundling after a dynamic or semi-static event, the latest proposal discussed in the last meeting is shown below [1].</w:t>
      </w:r>
    </w:p>
    <w:tbl>
      <w:tblPr>
        <w:tblStyle w:val="5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</w:tcPr>
          <w:p>
            <w:pPr>
              <w:pStyle w:val="114"/>
              <w:numPr>
                <w:ilvl w:val="0"/>
                <w:numId w:val="10"/>
              </w:numPr>
              <w:spacing w:before="156" w:after="200" w:line="276" w:lineRule="auto"/>
              <w:ind w:firstLineChars="0"/>
              <w:contextualSpacing/>
              <w:rPr>
                <w:szCs w:val="21"/>
              </w:rPr>
            </w:pPr>
            <w:r>
              <w:rPr>
                <w:szCs w:val="21"/>
              </w:rPr>
              <w:t xml:space="preserve">For UE not capable of restarting DMRS bundling in response to dynamic events subject to FG-4g, </w:t>
            </w:r>
          </w:p>
          <w:p>
            <w:pPr>
              <w:pStyle w:val="114"/>
              <w:numPr>
                <w:ilvl w:val="1"/>
                <w:numId w:val="10"/>
              </w:numPr>
              <w:spacing w:before="156" w:after="200" w:line="276" w:lineRule="auto"/>
              <w:ind w:firstLineChars="0"/>
              <w:contextualSpacing/>
              <w:rPr>
                <w:szCs w:val="21"/>
              </w:rPr>
            </w:pPr>
            <w:r>
              <w:rPr>
                <w:szCs w:val="21"/>
              </w:rPr>
              <w:t xml:space="preserve">UE is able to restart DMRS bundling after a semi-static event, if there are no precedent dynamic events and no overlapping dynamic events with the semi-static event within the nominal TDW. </w:t>
            </w:r>
          </w:p>
          <w:p>
            <w:pPr>
              <w:pStyle w:val="114"/>
              <w:numPr>
                <w:ilvl w:val="1"/>
                <w:numId w:val="10"/>
              </w:numPr>
              <w:spacing w:before="156" w:after="200" w:line="276" w:lineRule="auto"/>
              <w:ind w:firstLineChars="0"/>
              <w:contextualSpacing/>
              <w:rPr>
                <w:szCs w:val="21"/>
              </w:rPr>
            </w:pPr>
            <w:r>
              <w:rPr>
                <w:szCs w:val="21"/>
              </w:rPr>
              <w:t xml:space="preserve">It’s subject to UE capability whether UE can restarting DMRS bundling after a semi-static event, if there are precedent dynamic events or overlapping dynamic events with the semi-static event within the nominal TDW. </w:t>
            </w:r>
          </w:p>
          <w:p>
            <w:pPr>
              <w:pStyle w:val="114"/>
              <w:numPr>
                <w:ilvl w:val="2"/>
                <w:numId w:val="11"/>
              </w:numPr>
              <w:spacing w:before="156" w:after="200" w:line="276" w:lineRule="auto"/>
              <w:ind w:firstLineChars="0"/>
              <w:contextualSpacing/>
              <w:rPr>
                <w:szCs w:val="21"/>
              </w:rPr>
            </w:pPr>
            <w:r>
              <w:rPr>
                <w:szCs w:val="21"/>
              </w:rPr>
              <w:t>UE Cap 0: UE has no ability to restart DMRS bundling after a dynamic event, i.e., after a dynamic event occurs during a nominal TDW, UE does not restart DMRS bundling until the end of the nominal TDW. This behaviour applies even if semi-static events occur after or overlapping with the dynamic event within the nominal TDW.</w:t>
            </w:r>
          </w:p>
          <w:p>
            <w:pPr>
              <w:pStyle w:val="114"/>
              <w:numPr>
                <w:ilvl w:val="2"/>
                <w:numId w:val="11"/>
              </w:numPr>
              <w:spacing w:before="156" w:after="200" w:line="276" w:lineRule="auto"/>
              <w:ind w:firstLineChars="0"/>
              <w:contextualSpacing/>
              <w:rPr>
                <w:szCs w:val="21"/>
              </w:rPr>
            </w:pPr>
            <w:r>
              <w:rPr>
                <w:szCs w:val="21"/>
              </w:rPr>
              <w:t xml:space="preserve">UE Cap 1: UE is always able to restart DMRS bundling after semi-static events. In case a dynamic event occurs during a nominal TDW, UE does not restart DMRS bundling until the next semi-static event (if any) before the end of the nominal TDW, and </w:t>
            </w:r>
            <w:r>
              <w:rPr>
                <w:rFonts w:hint="eastAsia"/>
                <w:szCs w:val="21"/>
              </w:rPr>
              <w:t xml:space="preserve">UE </w:t>
            </w:r>
            <w:r>
              <w:rPr>
                <w:szCs w:val="21"/>
              </w:rPr>
              <w:t>restarts DMRS bundling</w:t>
            </w:r>
            <w:r>
              <w:rPr>
                <w:rFonts w:hint="eastAsia"/>
                <w:szCs w:val="21"/>
              </w:rPr>
              <w:t xml:space="preserve"> after the </w:t>
            </w:r>
            <w:r>
              <w:rPr>
                <w:szCs w:val="21"/>
              </w:rPr>
              <w:t>semi-static event.</w:t>
            </w:r>
          </w:p>
          <w:p>
            <w:pPr>
              <w:pStyle w:val="114"/>
              <w:numPr>
                <w:ilvl w:val="0"/>
                <w:numId w:val="10"/>
              </w:numPr>
              <w:spacing w:before="156" w:after="200" w:line="276" w:lineRule="auto"/>
              <w:ind w:firstLineChars="0"/>
              <w:contextualSpacing/>
              <w:rPr>
                <w:szCs w:val="21"/>
              </w:rPr>
            </w:pPr>
            <w:r>
              <w:rPr>
                <w:szCs w:val="21"/>
              </w:rPr>
              <w:t xml:space="preserve">For UE capable of restarting DM-RS bundling in response to dynamic events subject to FG-4g, </w:t>
            </w:r>
          </w:p>
          <w:p>
            <w:pPr>
              <w:pStyle w:val="114"/>
              <w:numPr>
                <w:ilvl w:val="1"/>
                <w:numId w:val="10"/>
              </w:numPr>
              <w:spacing w:before="156" w:after="200" w:line="276" w:lineRule="auto"/>
              <w:ind w:firstLineChars="0"/>
              <w:contextualSpacing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szCs w:val="21"/>
              </w:rPr>
              <w:t>UE Cap 2: UE has full ability to restart DMRS bundling, i.e., UE restarts DMRS bundling after any dynamic or semi-static events.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37" w:beforeLines="50"/>
        <w:textAlignment w:val="baseline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In the proposal, three UE capabilities are defined. The first one cannot restart the DMRS bundling anymore after a dynamic grant. It is a baseline. All the UE should have such ability. The second one can always restart the DMRS bundling after any semi-static event even though there are precedent dynamic events or overlapping dynamic events with the semi-static event within the nominal TDW. The last one can restart DMRS bundling after any event. </w:t>
      </w:r>
    </w:p>
    <w:p>
      <w:pPr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From our understanding, the defined UE capabilities makes sense and can help the progress on this issue even though it is a bit not in line with the previous agreements that UE is mandatory to support DMRS bundling restarting after a semi-static event. Therefore, we support this proposal with the following modification to make it more clear.</w:t>
      </w:r>
    </w:p>
    <w:p>
      <w:pPr>
        <w:bidi w:val="0"/>
        <w:rPr>
          <w:rFonts w:hint="default"/>
          <w:i/>
          <w:iCs/>
          <w:lang w:val="en-US" w:eastAsia="zh-CN"/>
        </w:rPr>
      </w:pPr>
      <w:r>
        <w:rPr>
          <w:rFonts w:hint="default"/>
          <w:b/>
          <w:bCs/>
          <w:i/>
          <w:iCs/>
          <w:lang w:val="en-US" w:eastAsia="zh-CN"/>
        </w:rPr>
        <w:t>Proposal 1:</w:t>
      </w:r>
      <w:r>
        <w:rPr>
          <w:rFonts w:hint="default"/>
          <w:i/>
          <w:iCs/>
          <w:lang w:val="en-US" w:eastAsia="zh-CN"/>
        </w:rPr>
        <w:t xml:space="preserve"> The following modification should be supported on top of the latest proposal in the last meeting. </w:t>
      </w:r>
    </w:p>
    <w:p>
      <w:pPr>
        <w:numPr>
          <w:ilvl w:val="0"/>
          <w:numId w:val="10"/>
        </w:numPr>
        <w:bidi w:val="0"/>
        <w:rPr>
          <w:i/>
          <w:iCs/>
        </w:rPr>
      </w:pPr>
      <w:r>
        <w:rPr>
          <w:i/>
          <w:iCs/>
        </w:rPr>
        <w:t xml:space="preserve">For UE not capable of restarting DMRS bundling in response to dynamic events subject to FG-4g, </w:t>
      </w:r>
    </w:p>
    <w:p>
      <w:pPr>
        <w:numPr>
          <w:ilvl w:val="1"/>
          <w:numId w:val="10"/>
        </w:numPr>
        <w:bidi w:val="0"/>
        <w:rPr>
          <w:i/>
          <w:iCs/>
        </w:rPr>
      </w:pPr>
      <w:r>
        <w:rPr>
          <w:i/>
          <w:iCs/>
        </w:rPr>
        <w:t xml:space="preserve">UE is able to restart DMRS bundling after a semi-static event, if there are no precedent dynamic events and no overlapping dynamic events with the semi-static event within the nominal TDW. </w:t>
      </w:r>
    </w:p>
    <w:p>
      <w:pPr>
        <w:numPr>
          <w:ilvl w:val="1"/>
          <w:numId w:val="10"/>
        </w:numPr>
        <w:bidi w:val="0"/>
        <w:rPr>
          <w:i/>
          <w:iCs/>
        </w:rPr>
      </w:pPr>
      <w:r>
        <w:rPr>
          <w:i/>
          <w:iCs/>
        </w:rPr>
        <w:t xml:space="preserve">It’s subject to UE capability whether UE can restarting DMRS bundling after a semi-static event, if there are precedent dynamic events or overlapping dynamic events with the semi-static event within the nominal TDW. </w:t>
      </w:r>
    </w:p>
    <w:p>
      <w:pPr>
        <w:numPr>
          <w:ilvl w:val="2"/>
          <w:numId w:val="11"/>
        </w:numPr>
        <w:bidi w:val="0"/>
        <w:rPr>
          <w:i/>
          <w:iCs/>
        </w:rPr>
      </w:pPr>
      <w:r>
        <w:rPr>
          <w:i/>
          <w:iCs/>
        </w:rPr>
        <w:t>UE Cap 0: UE has no ability to restart DMRS bundling after a dynamic event, i.e., after a dynamic event occurs during a nominal TDW, UE does not restart DMRS bundling until the end of the nominal TDW. This behaviour applies even if semi-static events occur after or overlapping with the dynamic event within the nominal TDW.</w:t>
      </w:r>
    </w:p>
    <w:p>
      <w:pPr>
        <w:numPr>
          <w:ilvl w:val="2"/>
          <w:numId w:val="11"/>
        </w:numPr>
        <w:bidi w:val="0"/>
        <w:rPr>
          <w:i/>
          <w:iCs/>
        </w:rPr>
      </w:pPr>
      <w:r>
        <w:rPr>
          <w:i/>
          <w:iCs/>
        </w:rPr>
        <w:t>UE Cap 1: UE is always able to restart DMRS bundling after semi-static events</w:t>
      </w:r>
      <w:r>
        <w:rPr>
          <w:rFonts w:hint="default"/>
          <w:i/>
          <w:iCs/>
          <w:color w:val="FF0000"/>
          <w:u w:val="single"/>
          <w:lang w:val="en-US"/>
        </w:rPr>
        <w:t xml:space="preserve"> </w:t>
      </w:r>
      <w:r>
        <w:rPr>
          <w:rFonts w:hint="eastAsia"/>
          <w:i/>
          <w:iCs/>
          <w:color w:val="FF0000"/>
          <w:u w:val="single"/>
        </w:rPr>
        <w:t>even if there are precedent dynamic events or overlapping dynamic events with the semi-static event within the nominal TDW</w:t>
      </w:r>
      <w:r>
        <w:rPr>
          <w:i/>
          <w:iCs/>
        </w:rPr>
        <w:t xml:space="preserve">. </w:t>
      </w:r>
    </w:p>
    <w:p>
      <w:pPr>
        <w:numPr>
          <w:ilvl w:val="0"/>
          <w:numId w:val="12"/>
        </w:numPr>
        <w:bidi w:val="0"/>
        <w:ind w:left="1680" w:leftChars="0" w:hanging="420" w:firstLineChars="0"/>
        <w:rPr>
          <w:i/>
          <w:iCs/>
        </w:rPr>
      </w:pPr>
      <w:r>
        <w:rPr>
          <w:i/>
          <w:iCs/>
        </w:rPr>
        <w:t xml:space="preserve">In case a dynamic event occurs </w:t>
      </w:r>
      <w:r>
        <w:rPr>
          <w:rFonts w:hint="eastAsia"/>
          <w:i/>
          <w:iCs/>
          <w:color w:val="FF0000"/>
          <w:u w:val="single"/>
        </w:rPr>
        <w:t xml:space="preserve">after </w:t>
      </w:r>
      <w:r>
        <w:rPr>
          <w:rFonts w:hint="default"/>
          <w:i/>
          <w:iCs/>
          <w:color w:val="FF0000"/>
          <w:u w:val="single"/>
          <w:lang w:val="en-US"/>
        </w:rPr>
        <w:t xml:space="preserve">a </w:t>
      </w:r>
      <w:r>
        <w:rPr>
          <w:rFonts w:hint="eastAsia"/>
          <w:i/>
          <w:iCs/>
          <w:color w:val="FF0000"/>
          <w:u w:val="single"/>
        </w:rPr>
        <w:t>semi-static event</w:t>
      </w:r>
      <w:r>
        <w:rPr>
          <w:rFonts w:hint="default"/>
          <w:i/>
          <w:iCs/>
          <w:color w:val="FF0000"/>
          <w:u w:val="single"/>
          <w:lang w:val="en-US"/>
        </w:rPr>
        <w:t xml:space="preserve"> </w:t>
      </w:r>
      <w:r>
        <w:rPr>
          <w:i/>
          <w:iCs/>
        </w:rPr>
        <w:t xml:space="preserve">during a nominal TDW, UE does not restart DMRS bundling until the next semi-static event (if any) before the end of the nominal TDW, and </w:t>
      </w:r>
      <w:r>
        <w:rPr>
          <w:rFonts w:hint="eastAsia"/>
          <w:i/>
          <w:iCs/>
        </w:rPr>
        <w:t xml:space="preserve">UE </w:t>
      </w:r>
      <w:r>
        <w:rPr>
          <w:i/>
          <w:iCs/>
        </w:rPr>
        <w:t>restarts DMRS bundling</w:t>
      </w:r>
      <w:r>
        <w:rPr>
          <w:rFonts w:hint="eastAsia"/>
          <w:i/>
          <w:iCs/>
        </w:rPr>
        <w:t xml:space="preserve"> after the </w:t>
      </w:r>
      <w:r>
        <w:rPr>
          <w:i/>
          <w:iCs/>
        </w:rPr>
        <w:t>semi-static event.</w:t>
      </w:r>
    </w:p>
    <w:p>
      <w:pPr>
        <w:numPr>
          <w:ilvl w:val="0"/>
          <w:numId w:val="12"/>
        </w:numPr>
        <w:bidi w:val="0"/>
        <w:ind w:left="1680" w:leftChars="0" w:hanging="420" w:firstLineChars="0"/>
        <w:rPr>
          <w:i/>
          <w:iCs/>
          <w:color w:val="FF0000"/>
          <w:u w:val="single"/>
        </w:rPr>
      </w:pPr>
      <w:r>
        <w:rPr>
          <w:rFonts w:hint="default"/>
          <w:i/>
          <w:iCs/>
          <w:color w:val="FF0000"/>
          <w:u w:val="single"/>
          <w:lang w:val="en-US"/>
        </w:rPr>
        <w:t>In case a dynamic event occurs overlapping with a semi-static event during a nominal TDW, UE restarts DMRS bundling after the semi-static event.</w:t>
      </w:r>
    </w:p>
    <w:p>
      <w:pPr>
        <w:numPr>
          <w:ilvl w:val="0"/>
          <w:numId w:val="10"/>
        </w:numPr>
        <w:bidi w:val="0"/>
        <w:rPr>
          <w:i/>
          <w:iCs/>
        </w:rPr>
      </w:pPr>
      <w:r>
        <w:rPr>
          <w:i/>
          <w:iCs/>
        </w:rPr>
        <w:t xml:space="preserve">For UE capable of restarting DM-RS bundling in response to dynamic events subject to FG-4g, </w:t>
      </w:r>
    </w:p>
    <w:p>
      <w:pPr>
        <w:numPr>
          <w:ilvl w:val="1"/>
          <w:numId w:val="10"/>
        </w:numPr>
        <w:bidi w:val="0"/>
        <w:rPr>
          <w:rFonts w:hint="default"/>
          <w:i w:val="0"/>
          <w:iCs w:val="0"/>
          <w:lang w:val="en-US" w:eastAsia="zh-CN"/>
        </w:rPr>
      </w:pPr>
      <w:r>
        <w:rPr>
          <w:i/>
          <w:iCs/>
        </w:rPr>
        <w:t>UE Cap 2: UE has full ability to restart DMRS bundling, i.e., UE restarts DMRS bundling after any dynamic or semi-static events.</w:t>
      </w:r>
    </w:p>
    <w:p>
      <w:pPr>
        <w:numPr>
          <w:numId w:val="0"/>
        </w:numPr>
        <w:overflowPunct w:val="0"/>
        <w:autoSpaceDE w:val="0"/>
        <w:autoSpaceDN w:val="0"/>
        <w:bidi w:val="0"/>
        <w:adjustRightInd w:val="0"/>
        <w:spacing w:after="180"/>
        <w:jc w:val="both"/>
        <w:textAlignment w:val="baseline"/>
        <w:rPr>
          <w:i/>
          <w:iCs/>
        </w:rPr>
      </w:pPr>
    </w:p>
    <w:p>
      <w:pPr>
        <w:numPr>
          <w:numId w:val="0"/>
        </w:numPr>
        <w:overflowPunct w:val="0"/>
        <w:autoSpaceDE w:val="0"/>
        <w:autoSpaceDN w:val="0"/>
        <w:bidi w:val="0"/>
        <w:adjustRightInd w:val="0"/>
        <w:spacing w:after="180"/>
        <w:jc w:val="both"/>
        <w:textAlignment w:val="baseline"/>
        <w:rPr>
          <w:rFonts w:hint="default" w:eastAsia="宋体"/>
          <w:i w:val="0"/>
          <w:iCs w:val="0"/>
          <w:lang w:val="en-US" w:eastAsia="zh-CN"/>
        </w:rPr>
      </w:pPr>
      <w:r>
        <w:rPr>
          <w:rFonts w:hint="eastAsia"/>
          <w:i w:val="0"/>
          <w:iCs w:val="0"/>
          <w:lang w:val="en-US" w:eastAsia="zh-CN"/>
        </w:rPr>
        <w:t xml:space="preserve">The corresponding draft CR based on Proposal 1 is provided in [2]. </w:t>
      </w:r>
      <w:bookmarkStart w:id="3" w:name="_GoBack"/>
      <w:bookmarkEnd w:id="3"/>
    </w:p>
    <w:p>
      <w:pPr>
        <w:pStyle w:val="2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>
      <w:pPr>
        <w:rPr>
          <w:lang w:eastAsia="zh-CN"/>
        </w:rPr>
      </w:pPr>
      <w:r>
        <w:rPr>
          <w:rFonts w:hint="eastAsia"/>
          <w:lang w:eastAsia="zh-CN"/>
        </w:rPr>
        <w:t>According to the discussion above, we have the following proposal.</w:t>
      </w:r>
    </w:p>
    <w:p>
      <w:pPr>
        <w:bidi w:val="0"/>
        <w:rPr>
          <w:rFonts w:hint="default"/>
          <w:i/>
          <w:iCs/>
          <w:lang w:val="en-US" w:eastAsia="zh-CN"/>
        </w:rPr>
      </w:pPr>
      <w:r>
        <w:rPr>
          <w:rFonts w:hint="default"/>
          <w:b/>
          <w:bCs/>
          <w:i/>
          <w:iCs/>
          <w:lang w:val="en-US" w:eastAsia="zh-CN"/>
        </w:rPr>
        <w:t>Proposal 1:</w:t>
      </w:r>
      <w:r>
        <w:rPr>
          <w:rFonts w:hint="default"/>
          <w:i/>
          <w:iCs/>
          <w:lang w:val="en-US" w:eastAsia="zh-CN"/>
        </w:rPr>
        <w:t xml:space="preserve"> The following modification should be supported on top of the latest proposal in the last meeting. </w:t>
      </w:r>
    </w:p>
    <w:p>
      <w:pPr>
        <w:numPr>
          <w:ilvl w:val="0"/>
          <w:numId w:val="10"/>
        </w:numPr>
        <w:bidi w:val="0"/>
        <w:rPr>
          <w:i/>
          <w:iCs/>
        </w:rPr>
      </w:pPr>
      <w:r>
        <w:rPr>
          <w:i/>
          <w:iCs/>
        </w:rPr>
        <w:t xml:space="preserve">For UE not capable of restarting DMRS bundling in response to dynamic events subject to FG-4g, </w:t>
      </w:r>
    </w:p>
    <w:p>
      <w:pPr>
        <w:numPr>
          <w:ilvl w:val="1"/>
          <w:numId w:val="10"/>
        </w:numPr>
        <w:bidi w:val="0"/>
        <w:rPr>
          <w:i/>
          <w:iCs/>
        </w:rPr>
      </w:pPr>
      <w:r>
        <w:rPr>
          <w:i/>
          <w:iCs/>
        </w:rPr>
        <w:t xml:space="preserve">UE is able to restart DMRS bundling after a semi-static event, if there are no precedent dynamic events and no overlapping dynamic events with the semi-static event within the nominal TDW. </w:t>
      </w:r>
    </w:p>
    <w:p>
      <w:pPr>
        <w:numPr>
          <w:ilvl w:val="1"/>
          <w:numId w:val="10"/>
        </w:numPr>
        <w:bidi w:val="0"/>
        <w:rPr>
          <w:i/>
          <w:iCs/>
        </w:rPr>
      </w:pPr>
      <w:r>
        <w:rPr>
          <w:i/>
          <w:iCs/>
        </w:rPr>
        <w:t xml:space="preserve">It’s subject to UE capability whether UE can restarting DMRS bundling after a semi-static event, if there are precedent dynamic events or overlapping dynamic events with the semi-static event within the nominal TDW. </w:t>
      </w:r>
    </w:p>
    <w:p>
      <w:pPr>
        <w:numPr>
          <w:ilvl w:val="2"/>
          <w:numId w:val="11"/>
        </w:numPr>
        <w:bidi w:val="0"/>
        <w:rPr>
          <w:i/>
          <w:iCs/>
        </w:rPr>
      </w:pPr>
      <w:r>
        <w:rPr>
          <w:i/>
          <w:iCs/>
        </w:rPr>
        <w:t>UE Cap 0: UE has no ability to restart DMRS bundling after a dynamic event, i.e., after a dynamic event occurs during a nominal TDW, UE does not restart DMRS bundling until the end of the nominal TDW. This behaviour applies even if semi-static events occur after or overlapping with the dynamic event within the nominal TDW.</w:t>
      </w:r>
    </w:p>
    <w:p>
      <w:pPr>
        <w:numPr>
          <w:ilvl w:val="2"/>
          <w:numId w:val="11"/>
        </w:numPr>
        <w:bidi w:val="0"/>
        <w:rPr>
          <w:i/>
          <w:iCs/>
        </w:rPr>
      </w:pPr>
      <w:r>
        <w:rPr>
          <w:i/>
          <w:iCs/>
        </w:rPr>
        <w:t>UE Cap 1: UE is always able to restart DMRS bundling after semi-static events</w:t>
      </w:r>
      <w:r>
        <w:rPr>
          <w:rFonts w:hint="default"/>
          <w:i/>
          <w:iCs/>
          <w:color w:val="FF0000"/>
          <w:u w:val="single"/>
          <w:lang w:val="en-US"/>
        </w:rPr>
        <w:t xml:space="preserve"> </w:t>
      </w:r>
      <w:r>
        <w:rPr>
          <w:rFonts w:hint="eastAsia"/>
          <w:i/>
          <w:iCs/>
          <w:color w:val="FF0000"/>
          <w:u w:val="single"/>
        </w:rPr>
        <w:t>even if there are precedent dynamic events or overlapping dynamic events with the semi-static event within the nominal TDW</w:t>
      </w:r>
      <w:r>
        <w:rPr>
          <w:i/>
          <w:iCs/>
        </w:rPr>
        <w:t xml:space="preserve">. </w:t>
      </w:r>
    </w:p>
    <w:p>
      <w:pPr>
        <w:numPr>
          <w:ilvl w:val="0"/>
          <w:numId w:val="12"/>
        </w:numPr>
        <w:bidi w:val="0"/>
        <w:ind w:left="1680" w:leftChars="0" w:hanging="420" w:firstLineChars="0"/>
        <w:rPr>
          <w:i/>
          <w:iCs/>
        </w:rPr>
      </w:pPr>
      <w:r>
        <w:rPr>
          <w:i/>
          <w:iCs/>
        </w:rPr>
        <w:t xml:space="preserve">In case a dynamic event occurs </w:t>
      </w:r>
      <w:r>
        <w:rPr>
          <w:rFonts w:hint="eastAsia"/>
          <w:i/>
          <w:iCs/>
          <w:color w:val="FF0000"/>
          <w:u w:val="single"/>
        </w:rPr>
        <w:t xml:space="preserve">after </w:t>
      </w:r>
      <w:r>
        <w:rPr>
          <w:rFonts w:hint="default"/>
          <w:i/>
          <w:iCs/>
          <w:color w:val="FF0000"/>
          <w:u w:val="single"/>
          <w:lang w:val="en-US"/>
        </w:rPr>
        <w:t xml:space="preserve">a </w:t>
      </w:r>
      <w:r>
        <w:rPr>
          <w:rFonts w:hint="eastAsia"/>
          <w:i/>
          <w:iCs/>
          <w:color w:val="FF0000"/>
          <w:u w:val="single"/>
        </w:rPr>
        <w:t>semi-static event</w:t>
      </w:r>
      <w:r>
        <w:rPr>
          <w:rFonts w:hint="default"/>
          <w:i/>
          <w:iCs/>
          <w:color w:val="FF0000"/>
          <w:u w:val="single"/>
          <w:lang w:val="en-US"/>
        </w:rPr>
        <w:t xml:space="preserve"> </w:t>
      </w:r>
      <w:r>
        <w:rPr>
          <w:i/>
          <w:iCs/>
        </w:rPr>
        <w:t xml:space="preserve">during a nominal TDW, UE does not restart DMRS bundling until the next semi-static event (if any) before the end of the nominal TDW, and </w:t>
      </w:r>
      <w:r>
        <w:rPr>
          <w:rFonts w:hint="eastAsia"/>
          <w:i/>
          <w:iCs/>
        </w:rPr>
        <w:t xml:space="preserve">UE </w:t>
      </w:r>
      <w:r>
        <w:rPr>
          <w:i/>
          <w:iCs/>
        </w:rPr>
        <w:t>restarts DMRS bundling</w:t>
      </w:r>
      <w:r>
        <w:rPr>
          <w:rFonts w:hint="eastAsia"/>
          <w:i/>
          <w:iCs/>
        </w:rPr>
        <w:t xml:space="preserve"> after the </w:t>
      </w:r>
      <w:r>
        <w:rPr>
          <w:i/>
          <w:iCs/>
        </w:rPr>
        <w:t>semi-static event.</w:t>
      </w:r>
    </w:p>
    <w:p>
      <w:pPr>
        <w:numPr>
          <w:ilvl w:val="0"/>
          <w:numId w:val="12"/>
        </w:numPr>
        <w:bidi w:val="0"/>
        <w:ind w:left="1680" w:leftChars="0" w:hanging="420" w:firstLineChars="0"/>
        <w:rPr>
          <w:i/>
          <w:iCs/>
          <w:color w:val="FF0000"/>
          <w:u w:val="single"/>
        </w:rPr>
      </w:pPr>
      <w:r>
        <w:rPr>
          <w:rFonts w:hint="default"/>
          <w:i/>
          <w:iCs/>
          <w:color w:val="FF0000"/>
          <w:u w:val="single"/>
          <w:lang w:val="en-US"/>
        </w:rPr>
        <w:t>In case a dynamic event occurs overlapping with a semi-static event during a nominal TDW, UE restarts DMRS bundling after the semi-static event.</w:t>
      </w:r>
    </w:p>
    <w:p>
      <w:pPr>
        <w:numPr>
          <w:ilvl w:val="0"/>
          <w:numId w:val="10"/>
        </w:numPr>
        <w:bidi w:val="0"/>
        <w:rPr>
          <w:i/>
          <w:iCs/>
        </w:rPr>
      </w:pPr>
      <w:r>
        <w:rPr>
          <w:i/>
          <w:iCs/>
        </w:rPr>
        <w:t xml:space="preserve">For UE capable of restarting DM-RS bundling in response to dynamic events subject to FG-4g, </w:t>
      </w:r>
    </w:p>
    <w:p>
      <w:pPr>
        <w:numPr>
          <w:ilvl w:val="1"/>
          <w:numId w:val="10"/>
        </w:numPr>
        <w:bidi w:val="0"/>
        <w:rPr>
          <w:rFonts w:hint="default"/>
          <w:i/>
          <w:iCs/>
          <w:lang w:val="en-US" w:eastAsia="zh-CN"/>
        </w:rPr>
      </w:pPr>
      <w:r>
        <w:rPr>
          <w:i/>
          <w:iCs/>
        </w:rPr>
        <w:t>UE Cap 2: UE has full ability to restart DMRS bundling, i.e., UE restarts DMRS bundling after any dynamic or semi-static events.</w:t>
      </w:r>
    </w:p>
    <w:p>
      <w:pPr>
        <w:pStyle w:val="2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>
      <w:pPr>
        <w:pStyle w:val="126"/>
        <w:rPr>
          <w:lang w:eastAsia="zh-CN"/>
        </w:rPr>
      </w:pPr>
      <w:r>
        <w:rPr>
          <w:lang w:eastAsia="zh-CN"/>
        </w:rPr>
        <w:t xml:space="preserve">3GPP </w:t>
      </w:r>
      <w:r>
        <w:rPr>
          <w:rFonts w:hint="default"/>
          <w:lang w:val="en-US" w:eastAsia="zh-CN"/>
        </w:rPr>
        <w:t>RAN1#109-e, R1-2205483</w:t>
      </w:r>
      <w:r>
        <w:rPr>
          <w:rFonts w:hint="eastAsia"/>
          <w:lang w:val="en-US" w:eastAsia="zh-CN"/>
        </w:rPr>
        <w:t xml:space="preserve">, </w:t>
      </w:r>
      <w:r>
        <w:rPr>
          <w:rFonts w:hint="default"/>
          <w:lang w:val="en-US" w:eastAsia="zh-CN"/>
        </w:rPr>
        <w:t>[109-e-R17_CovEnh-04] Summary of email discussion on joint channel estimation for PUSCH and PUCCH</w:t>
      </w:r>
      <w:r>
        <w:rPr>
          <w:rFonts w:hint="eastAsia"/>
          <w:lang w:val="en-US" w:eastAsia="zh-CN"/>
        </w:rPr>
        <w:t xml:space="preserve">, </w:t>
      </w:r>
      <w:r>
        <w:rPr>
          <w:lang w:eastAsia="zh-CN"/>
        </w:rPr>
        <w:t>Moderator (China Telecom)</w:t>
      </w:r>
    </w:p>
    <w:p>
      <w:pPr>
        <w:pStyle w:val="126"/>
        <w:rPr>
          <w:lang w:eastAsia="zh-CN"/>
        </w:rPr>
      </w:pPr>
      <w:r>
        <w:rPr>
          <w:lang w:eastAsia="zh-CN"/>
        </w:rPr>
        <w:t xml:space="preserve">3GPP </w:t>
      </w:r>
      <w:r>
        <w:rPr>
          <w:rFonts w:hint="default"/>
          <w:lang w:val="en-US" w:eastAsia="zh-CN"/>
        </w:rPr>
        <w:t>RAN1#1</w:t>
      </w:r>
      <w:r>
        <w:rPr>
          <w:rFonts w:hint="eastAsia"/>
          <w:lang w:val="en-US" w:eastAsia="zh-CN"/>
        </w:rPr>
        <w:t>10</w:t>
      </w:r>
      <w:r>
        <w:rPr>
          <w:rFonts w:hint="default"/>
          <w:lang w:val="en-US" w:eastAsia="zh-CN"/>
        </w:rPr>
        <w:t>, R1-2205955</w:t>
      </w:r>
      <w:r>
        <w:rPr>
          <w:rFonts w:hint="eastAsia"/>
          <w:lang w:val="en-US" w:eastAsia="zh-CN"/>
        </w:rPr>
        <w:t>,</w:t>
      </w:r>
      <w:r>
        <w:rPr>
          <w:rFonts w:hint="default"/>
          <w:lang w:val="en-US" w:eastAsia="zh-CN"/>
        </w:rPr>
        <w:t xml:space="preserve"> Correction on UE behavior of restarting DMRS bundling</w:t>
      </w:r>
      <w:r>
        <w:rPr>
          <w:rFonts w:hint="eastAsia"/>
          <w:lang w:val="en-US" w:eastAsia="zh-CN"/>
        </w:rPr>
        <w:t>, ZTE.</w:t>
      </w:r>
    </w:p>
    <w:sectPr>
      <w:footerReference r:id="rId4" w:type="default"/>
      <w:headerReference r:id="rId3" w:type="even"/>
      <w:footerReference r:id="rId5" w:type="even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ind w:right="360"/>
    </w:pPr>
    <w:r>
      <w:rPr>
        <w:rStyle w:val="54"/>
      </w:rPr>
      <w:fldChar w:fldCharType="begin"/>
    </w:r>
    <w:r>
      <w:rPr>
        <w:rStyle w:val="54"/>
      </w:rPr>
      <w:instrText xml:space="preserve"> PAGE </w:instrText>
    </w:r>
    <w:r>
      <w:rPr>
        <w:rStyle w:val="54"/>
      </w:rPr>
      <w:fldChar w:fldCharType="separate"/>
    </w:r>
    <w:r>
      <w:rPr>
        <w:rStyle w:val="54"/>
      </w:rPr>
      <w:t>2</w:t>
    </w:r>
    <w:r>
      <w:rPr>
        <w:rStyle w:val="54"/>
      </w:rPr>
      <w:fldChar w:fldCharType="end"/>
    </w:r>
    <w:r>
      <w:rPr>
        <w:rStyle w:val="54"/>
      </w:rPr>
      <w:t>/</w:t>
    </w:r>
    <w:r>
      <w:rPr>
        <w:rStyle w:val="54"/>
      </w:rPr>
      <w:fldChar w:fldCharType="begin"/>
    </w:r>
    <w:r>
      <w:rPr>
        <w:rStyle w:val="54"/>
      </w:rPr>
      <w:instrText xml:space="preserve"> NUMPAGES </w:instrText>
    </w:r>
    <w:r>
      <w:rPr>
        <w:rStyle w:val="54"/>
      </w:rPr>
      <w:fldChar w:fldCharType="separate"/>
    </w:r>
    <w:r>
      <w:rPr>
        <w:rStyle w:val="54"/>
      </w:rPr>
      <w:t>2</w:t>
    </w:r>
    <w:r>
      <w:rPr>
        <w:rStyle w:val="5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framePr w:wrap="around" w:vAnchor="text" w:hAnchor="margin" w:xAlign="right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end"/>
    </w:r>
  </w:p>
  <w:p>
    <w:pPr>
      <w:pStyle w:val="37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C6F09"/>
    <w:multiLevelType w:val="multilevel"/>
    <w:tmpl w:val="085C6F09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</w:lvl>
  </w:abstractNum>
  <w:abstractNum w:abstractNumId="1">
    <w:nsid w:val="0E6D1BED"/>
    <w:multiLevelType w:val="multilevel"/>
    <w:tmpl w:val="0E6D1BED"/>
    <w:lvl w:ilvl="0" w:tentative="0">
      <w:start w:val="1"/>
      <w:numFmt w:val="bullet"/>
      <w:lvlText w:val="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‐"/>
      <w:lvlJc w:val="left"/>
      <w:pPr>
        <w:ind w:left="840" w:hanging="420"/>
      </w:pPr>
      <w:rPr>
        <w:rFonts w:hint="eastAsia" w:ascii="宋体" w:hAnsi="宋体" w:eastAsia="宋体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2ACEDF8C"/>
    <w:multiLevelType w:val="singleLevel"/>
    <w:tmpl w:val="2ACEDF8C"/>
    <w:lvl w:ilvl="0" w:tentative="0">
      <w:start w:val="1"/>
      <w:numFmt w:val="bullet"/>
      <w:lvlText w:val=""/>
      <w:lvlJc w:val="left"/>
      <w:pPr>
        <w:tabs>
          <w:tab w:val="left" w:pos="1260"/>
        </w:tabs>
        <w:ind w:left="1680" w:hanging="420"/>
      </w:pPr>
      <w:rPr>
        <w:rFonts w:hint="default" w:ascii="Wingdings" w:hAnsi="Wingdings"/>
      </w:r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94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333524BA"/>
    <w:multiLevelType w:val="multilevel"/>
    <w:tmpl w:val="333524BA"/>
    <w:lvl w:ilvl="0" w:tentative="0">
      <w:start w:val="1"/>
      <w:numFmt w:val="decimal"/>
      <w:pStyle w:val="139"/>
      <w:lvlText w:val="Table %1. "/>
      <w:lvlJc w:val="center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126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61F003CC"/>
    <w:multiLevelType w:val="multilevel"/>
    <w:tmpl w:val="61F003CC"/>
    <w:lvl w:ilvl="0" w:tentative="0">
      <w:start w:val="1"/>
      <w:numFmt w:val="decimal"/>
      <w:pStyle w:val="138"/>
      <w:lvlText w:val="Figure %1. "/>
      <w:lvlJc w:val="center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6C60902"/>
    <w:multiLevelType w:val="multilevel"/>
    <w:tmpl w:val="66C60902"/>
    <w:lvl w:ilvl="0" w:tentative="0">
      <w:start w:val="1"/>
      <w:numFmt w:val="bullet"/>
      <w:pStyle w:val="11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0146DC0"/>
    <w:multiLevelType w:val="multilevel"/>
    <w:tmpl w:val="70146DC0"/>
    <w:lvl w:ilvl="0" w:tentative="0">
      <w:start w:val="1"/>
      <w:numFmt w:val="bullet"/>
      <w:pStyle w:val="158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C41A82"/>
    <w:multiLevelType w:val="multilevel"/>
    <w:tmpl w:val="79C41A82"/>
    <w:lvl w:ilvl="0" w:tentative="0">
      <w:start w:val="1"/>
      <w:numFmt w:val="decimal"/>
      <w:pStyle w:val="141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BB2217D"/>
    <w:multiLevelType w:val="multilevel"/>
    <w:tmpl w:val="7BB2217D"/>
    <w:lvl w:ilvl="0" w:tentative="0">
      <w:start w:val="1"/>
      <w:numFmt w:val="decimal"/>
      <w:pStyle w:val="131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D834C19"/>
    <w:multiLevelType w:val="multilevel"/>
    <w:tmpl w:val="7D834C19"/>
    <w:lvl w:ilvl="0" w:tentative="0">
      <w:start w:val="1"/>
      <w:numFmt w:val="bullet"/>
      <w:lvlText w:val="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‐"/>
      <w:lvlJc w:val="left"/>
      <w:pPr>
        <w:ind w:left="840" w:hanging="420"/>
      </w:pPr>
      <w:rPr>
        <w:rFonts w:hint="eastAsia" w:ascii="宋体" w:hAnsi="宋体" w:eastAsia="宋体"/>
      </w:rPr>
    </w:lvl>
    <w:lvl w:ilvl="2" w:tentative="0">
      <w:start w:val="1"/>
      <w:numFmt w:val="bullet"/>
      <w:lvlText w:val="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5"/>
  </w:num>
  <w:num w:numId="5">
    <w:abstractNumId w:val="10"/>
  </w:num>
  <w:num w:numId="6">
    <w:abstractNumId w:val="6"/>
  </w:num>
  <w:num w:numId="7">
    <w:abstractNumId w:val="4"/>
  </w:num>
  <w:num w:numId="8">
    <w:abstractNumId w:val="9"/>
  </w:num>
  <w:num w:numId="9">
    <w:abstractNumId w:val="8"/>
  </w:num>
  <w:num w:numId="10">
    <w:abstractNumId w:val="1"/>
  </w:num>
  <w:num w:numId="11">
    <w:abstractNumId w:val="1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8"/>
  <w:doNotHyphenateCaps/>
  <w:drawingGridHorizontalSpacing w:val="100"/>
  <w:displayHorizontalDrawingGridEvery w:val="0"/>
  <w:displayVerticalDrawingGridEvery w:val="2"/>
  <w:doNotShadeFormData w:val="1"/>
  <w:characterSpacingControl w:val="doNotCompress"/>
  <w:footnotePr>
    <w:numRestart w:val="eachSect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6FFE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896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27735"/>
    <w:rsid w:val="000300FE"/>
    <w:rsid w:val="00030580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2D8"/>
    <w:rsid w:val="00036431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2CB9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6FF"/>
    <w:rsid w:val="00082A49"/>
    <w:rsid w:val="00082C90"/>
    <w:rsid w:val="00082D86"/>
    <w:rsid w:val="00082EC2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1D6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28C"/>
    <w:rsid w:val="000979F0"/>
    <w:rsid w:val="00097AE8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A82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87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2D9A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20CD"/>
    <w:rsid w:val="000F2965"/>
    <w:rsid w:val="000F2A5F"/>
    <w:rsid w:val="000F2CC4"/>
    <w:rsid w:val="000F3178"/>
    <w:rsid w:val="000F34C7"/>
    <w:rsid w:val="000F3B40"/>
    <w:rsid w:val="000F3B6D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BB"/>
    <w:rsid w:val="001010D7"/>
    <w:rsid w:val="0010129F"/>
    <w:rsid w:val="00101489"/>
    <w:rsid w:val="0010148E"/>
    <w:rsid w:val="001017C8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D9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85F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5E9"/>
    <w:rsid w:val="00147679"/>
    <w:rsid w:val="00147773"/>
    <w:rsid w:val="00147D65"/>
    <w:rsid w:val="00147D91"/>
    <w:rsid w:val="001508E1"/>
    <w:rsid w:val="001510ED"/>
    <w:rsid w:val="001516D9"/>
    <w:rsid w:val="001517AB"/>
    <w:rsid w:val="00151805"/>
    <w:rsid w:val="0015184B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82A"/>
    <w:rsid w:val="00153A48"/>
    <w:rsid w:val="00153A6B"/>
    <w:rsid w:val="00153E69"/>
    <w:rsid w:val="00153EEF"/>
    <w:rsid w:val="00153F29"/>
    <w:rsid w:val="001544AB"/>
    <w:rsid w:val="00154808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6FC"/>
    <w:rsid w:val="00160786"/>
    <w:rsid w:val="00160D9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87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8C5"/>
    <w:rsid w:val="00190927"/>
    <w:rsid w:val="001909B8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5C8"/>
    <w:rsid w:val="001A0676"/>
    <w:rsid w:val="001A067A"/>
    <w:rsid w:val="001A06C8"/>
    <w:rsid w:val="001A1337"/>
    <w:rsid w:val="001A1941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4EF2"/>
    <w:rsid w:val="001A5308"/>
    <w:rsid w:val="001A6164"/>
    <w:rsid w:val="001A61A0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2A7"/>
    <w:rsid w:val="001B1565"/>
    <w:rsid w:val="001B2993"/>
    <w:rsid w:val="001B29AC"/>
    <w:rsid w:val="001B2C18"/>
    <w:rsid w:val="001B35C1"/>
    <w:rsid w:val="001B3754"/>
    <w:rsid w:val="001B38F0"/>
    <w:rsid w:val="001B3A10"/>
    <w:rsid w:val="001B4371"/>
    <w:rsid w:val="001B5332"/>
    <w:rsid w:val="001B54E9"/>
    <w:rsid w:val="001B55DE"/>
    <w:rsid w:val="001B635D"/>
    <w:rsid w:val="001B6759"/>
    <w:rsid w:val="001B70CF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E53"/>
    <w:rsid w:val="001C1EB9"/>
    <w:rsid w:val="001C2056"/>
    <w:rsid w:val="001C211D"/>
    <w:rsid w:val="001C22B1"/>
    <w:rsid w:val="001C2521"/>
    <w:rsid w:val="001C2A8B"/>
    <w:rsid w:val="001C3434"/>
    <w:rsid w:val="001C3474"/>
    <w:rsid w:val="001C3D2C"/>
    <w:rsid w:val="001C3DC6"/>
    <w:rsid w:val="001C3E02"/>
    <w:rsid w:val="001C44D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39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5A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125"/>
    <w:rsid w:val="002222A4"/>
    <w:rsid w:val="00222AB8"/>
    <w:rsid w:val="00222B25"/>
    <w:rsid w:val="00222FE7"/>
    <w:rsid w:val="002234C1"/>
    <w:rsid w:val="00223833"/>
    <w:rsid w:val="00223847"/>
    <w:rsid w:val="00223ACD"/>
    <w:rsid w:val="00223ACE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581"/>
    <w:rsid w:val="00235698"/>
    <w:rsid w:val="002367E8"/>
    <w:rsid w:val="00236850"/>
    <w:rsid w:val="00236F71"/>
    <w:rsid w:val="002373FC"/>
    <w:rsid w:val="00237855"/>
    <w:rsid w:val="00237A7B"/>
    <w:rsid w:val="00237C6F"/>
    <w:rsid w:val="00237D22"/>
    <w:rsid w:val="00240185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E7D"/>
    <w:rsid w:val="0025429A"/>
    <w:rsid w:val="00254F38"/>
    <w:rsid w:val="00255C17"/>
    <w:rsid w:val="0025655A"/>
    <w:rsid w:val="00256B22"/>
    <w:rsid w:val="00256B25"/>
    <w:rsid w:val="00256CA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819"/>
    <w:rsid w:val="00267FE3"/>
    <w:rsid w:val="002703A8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C8B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130D"/>
    <w:rsid w:val="0029142E"/>
    <w:rsid w:val="002915DA"/>
    <w:rsid w:val="0029178F"/>
    <w:rsid w:val="00291C45"/>
    <w:rsid w:val="00292200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134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5E0D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23F6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22C3"/>
    <w:rsid w:val="002F2AE0"/>
    <w:rsid w:val="002F31C4"/>
    <w:rsid w:val="002F322F"/>
    <w:rsid w:val="002F3AEE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AA9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0FF"/>
    <w:rsid w:val="003042D5"/>
    <w:rsid w:val="00304556"/>
    <w:rsid w:val="00304AC5"/>
    <w:rsid w:val="00304C9E"/>
    <w:rsid w:val="0030598E"/>
    <w:rsid w:val="00305E25"/>
    <w:rsid w:val="003065FB"/>
    <w:rsid w:val="00306814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9D9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D94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828"/>
    <w:rsid w:val="00345A9D"/>
    <w:rsid w:val="0034745C"/>
    <w:rsid w:val="003474CD"/>
    <w:rsid w:val="003479B6"/>
    <w:rsid w:val="0035025F"/>
    <w:rsid w:val="0035041A"/>
    <w:rsid w:val="003505A4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642"/>
    <w:rsid w:val="00365644"/>
    <w:rsid w:val="0036590C"/>
    <w:rsid w:val="00366196"/>
    <w:rsid w:val="003665C5"/>
    <w:rsid w:val="00366829"/>
    <w:rsid w:val="00366B3A"/>
    <w:rsid w:val="0036707B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B7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18"/>
    <w:rsid w:val="00385A70"/>
    <w:rsid w:val="00385BD7"/>
    <w:rsid w:val="00385C6F"/>
    <w:rsid w:val="00386205"/>
    <w:rsid w:val="00386688"/>
    <w:rsid w:val="00386A15"/>
    <w:rsid w:val="00386B71"/>
    <w:rsid w:val="00386C3E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B2"/>
    <w:rsid w:val="003A0FFB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2A3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72A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270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BF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48A"/>
    <w:rsid w:val="003F4501"/>
    <w:rsid w:val="003F4933"/>
    <w:rsid w:val="003F4977"/>
    <w:rsid w:val="003F4A21"/>
    <w:rsid w:val="003F4E1C"/>
    <w:rsid w:val="003F536B"/>
    <w:rsid w:val="003F557A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6C2D"/>
    <w:rsid w:val="003F73A0"/>
    <w:rsid w:val="003F75C4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1D58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09EC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8DB"/>
    <w:rsid w:val="004139A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0F6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CE7"/>
    <w:rsid w:val="00430D78"/>
    <w:rsid w:val="00431149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778"/>
    <w:rsid w:val="00450834"/>
    <w:rsid w:val="00450D3B"/>
    <w:rsid w:val="0045169D"/>
    <w:rsid w:val="004518D5"/>
    <w:rsid w:val="00451B06"/>
    <w:rsid w:val="00451BEB"/>
    <w:rsid w:val="00451BFE"/>
    <w:rsid w:val="00451F32"/>
    <w:rsid w:val="004520FE"/>
    <w:rsid w:val="004527C0"/>
    <w:rsid w:val="00452D50"/>
    <w:rsid w:val="00453871"/>
    <w:rsid w:val="00453980"/>
    <w:rsid w:val="00453BB4"/>
    <w:rsid w:val="00453DEF"/>
    <w:rsid w:val="00453F02"/>
    <w:rsid w:val="004540AC"/>
    <w:rsid w:val="004543E4"/>
    <w:rsid w:val="004548E5"/>
    <w:rsid w:val="00454ACD"/>
    <w:rsid w:val="00454E44"/>
    <w:rsid w:val="00454F08"/>
    <w:rsid w:val="00454F85"/>
    <w:rsid w:val="00455105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1BC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6689C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8B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CEE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8DE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404"/>
    <w:rsid w:val="00497C03"/>
    <w:rsid w:val="004A01E1"/>
    <w:rsid w:val="004A0E00"/>
    <w:rsid w:val="004A0F3C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0AE1"/>
    <w:rsid w:val="004B1313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73D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718"/>
    <w:rsid w:val="004F3D55"/>
    <w:rsid w:val="004F3DD1"/>
    <w:rsid w:val="004F4E53"/>
    <w:rsid w:val="004F54B6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367"/>
    <w:rsid w:val="0050169D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B96"/>
    <w:rsid w:val="00516E9E"/>
    <w:rsid w:val="00516EB8"/>
    <w:rsid w:val="005173A4"/>
    <w:rsid w:val="005179DC"/>
    <w:rsid w:val="0052001B"/>
    <w:rsid w:val="00520518"/>
    <w:rsid w:val="00520AE3"/>
    <w:rsid w:val="00520B36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773"/>
    <w:rsid w:val="005269C2"/>
    <w:rsid w:val="00526A5E"/>
    <w:rsid w:val="00526C8A"/>
    <w:rsid w:val="005272A8"/>
    <w:rsid w:val="005272F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6D7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94A"/>
    <w:rsid w:val="00546CDA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5B33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39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308"/>
    <w:rsid w:val="0059634D"/>
    <w:rsid w:val="005968C4"/>
    <w:rsid w:val="00596C01"/>
    <w:rsid w:val="00596CFB"/>
    <w:rsid w:val="0059715B"/>
    <w:rsid w:val="00597584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039"/>
    <w:rsid w:val="005B1197"/>
    <w:rsid w:val="005B16CC"/>
    <w:rsid w:val="005B18BB"/>
    <w:rsid w:val="005B2205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5"/>
    <w:rsid w:val="005B703E"/>
    <w:rsid w:val="005B712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3CE"/>
    <w:rsid w:val="005C3639"/>
    <w:rsid w:val="005C376D"/>
    <w:rsid w:val="005C41D5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65D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DB"/>
    <w:rsid w:val="005C7EF8"/>
    <w:rsid w:val="005D01D7"/>
    <w:rsid w:val="005D02FA"/>
    <w:rsid w:val="005D047B"/>
    <w:rsid w:val="005D0790"/>
    <w:rsid w:val="005D0D3E"/>
    <w:rsid w:val="005D173F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B70"/>
    <w:rsid w:val="005D5E46"/>
    <w:rsid w:val="005D609E"/>
    <w:rsid w:val="005D64A5"/>
    <w:rsid w:val="005D6929"/>
    <w:rsid w:val="005D69D5"/>
    <w:rsid w:val="005D6B30"/>
    <w:rsid w:val="005D6E1C"/>
    <w:rsid w:val="005D7458"/>
    <w:rsid w:val="005D7504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37"/>
    <w:rsid w:val="005F0C46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3F0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271"/>
    <w:rsid w:val="005F76BE"/>
    <w:rsid w:val="005F7CC1"/>
    <w:rsid w:val="005F7F5D"/>
    <w:rsid w:val="006000EE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F90"/>
    <w:rsid w:val="0061717B"/>
    <w:rsid w:val="0061717F"/>
    <w:rsid w:val="0061739C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668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9CE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04E"/>
    <w:rsid w:val="0064615B"/>
    <w:rsid w:val="006466B5"/>
    <w:rsid w:val="00646A49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1BF"/>
    <w:rsid w:val="0066051E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678"/>
    <w:rsid w:val="006646F4"/>
    <w:rsid w:val="00664F10"/>
    <w:rsid w:val="00665229"/>
    <w:rsid w:val="00665316"/>
    <w:rsid w:val="006654E8"/>
    <w:rsid w:val="006655F1"/>
    <w:rsid w:val="0066568F"/>
    <w:rsid w:val="00665CCE"/>
    <w:rsid w:val="00666B49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1A5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D79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9AD"/>
    <w:rsid w:val="00694C0B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186"/>
    <w:rsid w:val="006A3227"/>
    <w:rsid w:val="006A3396"/>
    <w:rsid w:val="006A351E"/>
    <w:rsid w:val="006A3F94"/>
    <w:rsid w:val="006A40D0"/>
    <w:rsid w:val="006A4113"/>
    <w:rsid w:val="006A49B5"/>
    <w:rsid w:val="006A4AB6"/>
    <w:rsid w:val="006A4D81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27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2636"/>
    <w:rsid w:val="006D2C24"/>
    <w:rsid w:val="006D31AF"/>
    <w:rsid w:val="006D31DD"/>
    <w:rsid w:val="006D35A4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5457"/>
    <w:rsid w:val="006D56B0"/>
    <w:rsid w:val="006D59BF"/>
    <w:rsid w:val="006D5A62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AFE"/>
    <w:rsid w:val="006E696A"/>
    <w:rsid w:val="006E6C33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428"/>
    <w:rsid w:val="006F557B"/>
    <w:rsid w:val="006F5674"/>
    <w:rsid w:val="006F5B41"/>
    <w:rsid w:val="006F6689"/>
    <w:rsid w:val="006F6740"/>
    <w:rsid w:val="006F6E9F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23B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F1"/>
    <w:rsid w:val="00727E3C"/>
    <w:rsid w:val="00727E9F"/>
    <w:rsid w:val="00730115"/>
    <w:rsid w:val="007306D2"/>
    <w:rsid w:val="00730F0F"/>
    <w:rsid w:val="00730FB9"/>
    <w:rsid w:val="0073128B"/>
    <w:rsid w:val="0073150C"/>
    <w:rsid w:val="0073171A"/>
    <w:rsid w:val="007325D3"/>
    <w:rsid w:val="00732885"/>
    <w:rsid w:val="00733575"/>
    <w:rsid w:val="00733858"/>
    <w:rsid w:val="00733A80"/>
    <w:rsid w:val="0073487C"/>
    <w:rsid w:val="0073497A"/>
    <w:rsid w:val="0073532A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1190"/>
    <w:rsid w:val="007916D2"/>
    <w:rsid w:val="00791866"/>
    <w:rsid w:val="00791ADE"/>
    <w:rsid w:val="00791BE9"/>
    <w:rsid w:val="00791BEA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282"/>
    <w:rsid w:val="007954AC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1A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071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37EE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E55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2C2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1393"/>
    <w:rsid w:val="008116E4"/>
    <w:rsid w:val="00812027"/>
    <w:rsid w:val="008121AD"/>
    <w:rsid w:val="0081233C"/>
    <w:rsid w:val="008123D5"/>
    <w:rsid w:val="008124FE"/>
    <w:rsid w:val="008127B0"/>
    <w:rsid w:val="00812992"/>
    <w:rsid w:val="00812FE3"/>
    <w:rsid w:val="00813175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606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422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456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724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57DF7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84C"/>
    <w:rsid w:val="00876AC7"/>
    <w:rsid w:val="00876D6D"/>
    <w:rsid w:val="0087763F"/>
    <w:rsid w:val="00877640"/>
    <w:rsid w:val="00877838"/>
    <w:rsid w:val="00877C45"/>
    <w:rsid w:val="00877C57"/>
    <w:rsid w:val="00877FA3"/>
    <w:rsid w:val="008804C9"/>
    <w:rsid w:val="00880D0D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9BE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91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1E5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57C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798E"/>
    <w:rsid w:val="00917E0A"/>
    <w:rsid w:val="0092078E"/>
    <w:rsid w:val="00920848"/>
    <w:rsid w:val="00920B0E"/>
    <w:rsid w:val="0092134F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690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82E"/>
    <w:rsid w:val="00931DF8"/>
    <w:rsid w:val="00932109"/>
    <w:rsid w:val="009322AC"/>
    <w:rsid w:val="009324B1"/>
    <w:rsid w:val="009324B2"/>
    <w:rsid w:val="009326B1"/>
    <w:rsid w:val="009327B5"/>
    <w:rsid w:val="00932A20"/>
    <w:rsid w:val="00932F7F"/>
    <w:rsid w:val="00933D61"/>
    <w:rsid w:val="00933DE4"/>
    <w:rsid w:val="00934044"/>
    <w:rsid w:val="00934547"/>
    <w:rsid w:val="00934747"/>
    <w:rsid w:val="0093485A"/>
    <w:rsid w:val="00934FFD"/>
    <w:rsid w:val="00935289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A49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67EDE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0F6F"/>
    <w:rsid w:val="009917F3"/>
    <w:rsid w:val="00991F39"/>
    <w:rsid w:val="00992232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68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C1F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3FE5"/>
    <w:rsid w:val="009A40FD"/>
    <w:rsid w:val="009A4AA9"/>
    <w:rsid w:val="009A4EA0"/>
    <w:rsid w:val="009A516A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C10"/>
    <w:rsid w:val="009C0DBE"/>
    <w:rsid w:val="009C1035"/>
    <w:rsid w:val="009C19BC"/>
    <w:rsid w:val="009C19D2"/>
    <w:rsid w:val="009C1BF9"/>
    <w:rsid w:val="009C1D4B"/>
    <w:rsid w:val="009C1E0C"/>
    <w:rsid w:val="009C206F"/>
    <w:rsid w:val="009C278C"/>
    <w:rsid w:val="009C281C"/>
    <w:rsid w:val="009C2871"/>
    <w:rsid w:val="009C2AB0"/>
    <w:rsid w:val="009C2B1C"/>
    <w:rsid w:val="009C31FD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952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2B26"/>
    <w:rsid w:val="00A02BEC"/>
    <w:rsid w:val="00A02BF5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27EC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2B"/>
    <w:rsid w:val="00A45A3B"/>
    <w:rsid w:val="00A45C5B"/>
    <w:rsid w:val="00A45EFA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9E9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0F4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1B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B3C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C97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33C"/>
    <w:rsid w:val="00AA29F2"/>
    <w:rsid w:val="00AA2CD8"/>
    <w:rsid w:val="00AA30A2"/>
    <w:rsid w:val="00AA3521"/>
    <w:rsid w:val="00AA461D"/>
    <w:rsid w:val="00AA4C09"/>
    <w:rsid w:val="00AA4F41"/>
    <w:rsid w:val="00AA5584"/>
    <w:rsid w:val="00AA576F"/>
    <w:rsid w:val="00AA6026"/>
    <w:rsid w:val="00AA6206"/>
    <w:rsid w:val="00AA630A"/>
    <w:rsid w:val="00AA635D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1281"/>
    <w:rsid w:val="00AC1539"/>
    <w:rsid w:val="00AC1554"/>
    <w:rsid w:val="00AC21BA"/>
    <w:rsid w:val="00AC22C7"/>
    <w:rsid w:val="00AC281A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83B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859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2D3D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501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2B3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43"/>
    <w:rsid w:val="00B668B4"/>
    <w:rsid w:val="00B66FFC"/>
    <w:rsid w:val="00B6796C"/>
    <w:rsid w:val="00B67B2B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019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0758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45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293"/>
    <w:rsid w:val="00BC16BF"/>
    <w:rsid w:val="00BC177A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2FA9"/>
    <w:rsid w:val="00BD3837"/>
    <w:rsid w:val="00BD385B"/>
    <w:rsid w:val="00BD386B"/>
    <w:rsid w:val="00BD3C69"/>
    <w:rsid w:val="00BD3D7A"/>
    <w:rsid w:val="00BD4355"/>
    <w:rsid w:val="00BD4A64"/>
    <w:rsid w:val="00BD5A1E"/>
    <w:rsid w:val="00BD5A26"/>
    <w:rsid w:val="00BD5A74"/>
    <w:rsid w:val="00BD5D4D"/>
    <w:rsid w:val="00BD614C"/>
    <w:rsid w:val="00BD6398"/>
    <w:rsid w:val="00BD6509"/>
    <w:rsid w:val="00BD689C"/>
    <w:rsid w:val="00BD6909"/>
    <w:rsid w:val="00BD6A22"/>
    <w:rsid w:val="00BD6C03"/>
    <w:rsid w:val="00BD78B8"/>
    <w:rsid w:val="00BD7910"/>
    <w:rsid w:val="00BD7A82"/>
    <w:rsid w:val="00BD7D8E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19"/>
    <w:rsid w:val="00BE68B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0EB"/>
    <w:rsid w:val="00BF5350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3B7B"/>
    <w:rsid w:val="00C03C30"/>
    <w:rsid w:val="00C04339"/>
    <w:rsid w:val="00C0471C"/>
    <w:rsid w:val="00C04A6C"/>
    <w:rsid w:val="00C04C6C"/>
    <w:rsid w:val="00C04DE2"/>
    <w:rsid w:val="00C05395"/>
    <w:rsid w:val="00C0539D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7F1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7D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093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2F05"/>
    <w:rsid w:val="00C33560"/>
    <w:rsid w:val="00C337EC"/>
    <w:rsid w:val="00C339DE"/>
    <w:rsid w:val="00C33AA7"/>
    <w:rsid w:val="00C33DCE"/>
    <w:rsid w:val="00C33DE8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9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167"/>
    <w:rsid w:val="00C67258"/>
    <w:rsid w:val="00C67E2E"/>
    <w:rsid w:val="00C67F34"/>
    <w:rsid w:val="00C70366"/>
    <w:rsid w:val="00C7040D"/>
    <w:rsid w:val="00C70B8C"/>
    <w:rsid w:val="00C71082"/>
    <w:rsid w:val="00C71327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0BA"/>
    <w:rsid w:val="00C911EF"/>
    <w:rsid w:val="00C918CD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3B58"/>
    <w:rsid w:val="00C94051"/>
    <w:rsid w:val="00C945EC"/>
    <w:rsid w:val="00C948ED"/>
    <w:rsid w:val="00C94B58"/>
    <w:rsid w:val="00C94BBA"/>
    <w:rsid w:val="00C94E3F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3F4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7B4"/>
    <w:rsid w:val="00CD6823"/>
    <w:rsid w:val="00CD68A2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3D6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4C54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521"/>
    <w:rsid w:val="00CF76AE"/>
    <w:rsid w:val="00CF7CCF"/>
    <w:rsid w:val="00CF7D8D"/>
    <w:rsid w:val="00CF7FE6"/>
    <w:rsid w:val="00D002EF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CA2"/>
    <w:rsid w:val="00D10E3E"/>
    <w:rsid w:val="00D11672"/>
    <w:rsid w:val="00D11873"/>
    <w:rsid w:val="00D11DD7"/>
    <w:rsid w:val="00D11EC9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B43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B8A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65B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B71"/>
    <w:rsid w:val="00D42C31"/>
    <w:rsid w:val="00D42D5D"/>
    <w:rsid w:val="00D43888"/>
    <w:rsid w:val="00D4429F"/>
    <w:rsid w:val="00D44A5C"/>
    <w:rsid w:val="00D44CC3"/>
    <w:rsid w:val="00D45B68"/>
    <w:rsid w:val="00D4601D"/>
    <w:rsid w:val="00D4637B"/>
    <w:rsid w:val="00D4656F"/>
    <w:rsid w:val="00D466E5"/>
    <w:rsid w:val="00D466FE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6EA4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18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E0D"/>
    <w:rsid w:val="00D76E83"/>
    <w:rsid w:val="00D76EB9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B12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4FF0"/>
    <w:rsid w:val="00D855BA"/>
    <w:rsid w:val="00D855D0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267"/>
    <w:rsid w:val="00D96AD5"/>
    <w:rsid w:val="00D96E13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2A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396"/>
    <w:rsid w:val="00DD6C70"/>
    <w:rsid w:val="00DD6DA2"/>
    <w:rsid w:val="00DD761C"/>
    <w:rsid w:val="00DE0171"/>
    <w:rsid w:val="00DE0242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C99"/>
    <w:rsid w:val="00DE3D42"/>
    <w:rsid w:val="00DE3E7C"/>
    <w:rsid w:val="00DE42A3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64F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89F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298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C73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DCD"/>
    <w:rsid w:val="00E55E1F"/>
    <w:rsid w:val="00E55F19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BBA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DF1"/>
    <w:rsid w:val="00E71EDB"/>
    <w:rsid w:val="00E723D3"/>
    <w:rsid w:val="00E723E6"/>
    <w:rsid w:val="00E7242A"/>
    <w:rsid w:val="00E72521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666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EE0"/>
    <w:rsid w:val="00E82F44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3FFA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4E7"/>
    <w:rsid w:val="00EC49DD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486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0AF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5A1E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EA2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538"/>
    <w:rsid w:val="00F64635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A01"/>
    <w:rsid w:val="00F75C0B"/>
    <w:rsid w:val="00F763DF"/>
    <w:rsid w:val="00F76B16"/>
    <w:rsid w:val="00F7702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364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612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871"/>
    <w:rsid w:val="00FA39FB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F6A"/>
    <w:rsid w:val="00FB2F94"/>
    <w:rsid w:val="00FB3CD6"/>
    <w:rsid w:val="00FB4065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703E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2376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1141897"/>
    <w:rsid w:val="011C2447"/>
    <w:rsid w:val="011C77E8"/>
    <w:rsid w:val="012621EA"/>
    <w:rsid w:val="0135231E"/>
    <w:rsid w:val="016B06CD"/>
    <w:rsid w:val="01831130"/>
    <w:rsid w:val="01A2575D"/>
    <w:rsid w:val="01A5018A"/>
    <w:rsid w:val="01D9472D"/>
    <w:rsid w:val="01FC2529"/>
    <w:rsid w:val="026835F1"/>
    <w:rsid w:val="027F51D6"/>
    <w:rsid w:val="0284643E"/>
    <w:rsid w:val="02963BAF"/>
    <w:rsid w:val="02AB3391"/>
    <w:rsid w:val="02C0763E"/>
    <w:rsid w:val="02C649DF"/>
    <w:rsid w:val="02CC2DF9"/>
    <w:rsid w:val="02E14863"/>
    <w:rsid w:val="0319183E"/>
    <w:rsid w:val="03215927"/>
    <w:rsid w:val="03470FD7"/>
    <w:rsid w:val="03532C3F"/>
    <w:rsid w:val="039046B7"/>
    <w:rsid w:val="03B25C4C"/>
    <w:rsid w:val="03C4027F"/>
    <w:rsid w:val="03E442A7"/>
    <w:rsid w:val="03F94E83"/>
    <w:rsid w:val="03FC4856"/>
    <w:rsid w:val="04144412"/>
    <w:rsid w:val="04280594"/>
    <w:rsid w:val="04E46C50"/>
    <w:rsid w:val="04E51BB8"/>
    <w:rsid w:val="04F86115"/>
    <w:rsid w:val="04FC54BE"/>
    <w:rsid w:val="053177F3"/>
    <w:rsid w:val="05772202"/>
    <w:rsid w:val="05805E93"/>
    <w:rsid w:val="059D0899"/>
    <w:rsid w:val="05A246A6"/>
    <w:rsid w:val="05BF1858"/>
    <w:rsid w:val="05FA35C5"/>
    <w:rsid w:val="061F7747"/>
    <w:rsid w:val="066953FF"/>
    <w:rsid w:val="066D0554"/>
    <w:rsid w:val="067D4C1C"/>
    <w:rsid w:val="06A864F3"/>
    <w:rsid w:val="06B127E5"/>
    <w:rsid w:val="06F146D9"/>
    <w:rsid w:val="07165FAB"/>
    <w:rsid w:val="07285FFA"/>
    <w:rsid w:val="072F2729"/>
    <w:rsid w:val="078221BC"/>
    <w:rsid w:val="07861E5B"/>
    <w:rsid w:val="07901951"/>
    <w:rsid w:val="07B275CB"/>
    <w:rsid w:val="07C21FA9"/>
    <w:rsid w:val="07C60573"/>
    <w:rsid w:val="07F36B9B"/>
    <w:rsid w:val="082F6A8F"/>
    <w:rsid w:val="08650932"/>
    <w:rsid w:val="08CF69B6"/>
    <w:rsid w:val="08F7541D"/>
    <w:rsid w:val="09531BE1"/>
    <w:rsid w:val="0957797D"/>
    <w:rsid w:val="0972706B"/>
    <w:rsid w:val="09C21BB6"/>
    <w:rsid w:val="09EC1FC7"/>
    <w:rsid w:val="0A2A77A5"/>
    <w:rsid w:val="0A553417"/>
    <w:rsid w:val="0A7969DF"/>
    <w:rsid w:val="0A867EAB"/>
    <w:rsid w:val="0ACB6154"/>
    <w:rsid w:val="0AFC60B7"/>
    <w:rsid w:val="0B184842"/>
    <w:rsid w:val="0B45588F"/>
    <w:rsid w:val="0B6F0A8E"/>
    <w:rsid w:val="0BA473D0"/>
    <w:rsid w:val="0BAD20E5"/>
    <w:rsid w:val="0BAD7041"/>
    <w:rsid w:val="0BEA611A"/>
    <w:rsid w:val="0BFD1C57"/>
    <w:rsid w:val="0C1F1F86"/>
    <w:rsid w:val="0C3A76A6"/>
    <w:rsid w:val="0C5123A8"/>
    <w:rsid w:val="0C6F5654"/>
    <w:rsid w:val="0C8D2FED"/>
    <w:rsid w:val="0C984199"/>
    <w:rsid w:val="0D132BA9"/>
    <w:rsid w:val="0D423CF3"/>
    <w:rsid w:val="0D5B0F38"/>
    <w:rsid w:val="0D5D345F"/>
    <w:rsid w:val="0D660AC2"/>
    <w:rsid w:val="0D672BF6"/>
    <w:rsid w:val="0D704096"/>
    <w:rsid w:val="0D80043B"/>
    <w:rsid w:val="0D910425"/>
    <w:rsid w:val="0DBB1A46"/>
    <w:rsid w:val="0DF918A9"/>
    <w:rsid w:val="0DFC56B5"/>
    <w:rsid w:val="0E120AD5"/>
    <w:rsid w:val="0E124D52"/>
    <w:rsid w:val="0E315E93"/>
    <w:rsid w:val="0E5B7A4F"/>
    <w:rsid w:val="0E780189"/>
    <w:rsid w:val="0E862F3F"/>
    <w:rsid w:val="0E9D6013"/>
    <w:rsid w:val="0EA6389B"/>
    <w:rsid w:val="0EB06FFE"/>
    <w:rsid w:val="0EC57FE4"/>
    <w:rsid w:val="0F117D1F"/>
    <w:rsid w:val="0F196779"/>
    <w:rsid w:val="0F307195"/>
    <w:rsid w:val="0F3F7099"/>
    <w:rsid w:val="0F6B449B"/>
    <w:rsid w:val="0F924F4D"/>
    <w:rsid w:val="0F997ACA"/>
    <w:rsid w:val="0F9C00AF"/>
    <w:rsid w:val="0FEE0729"/>
    <w:rsid w:val="0FFF7AEE"/>
    <w:rsid w:val="10150A41"/>
    <w:rsid w:val="102F7219"/>
    <w:rsid w:val="103837AD"/>
    <w:rsid w:val="103C4085"/>
    <w:rsid w:val="10450824"/>
    <w:rsid w:val="108C726E"/>
    <w:rsid w:val="10B52074"/>
    <w:rsid w:val="10B63459"/>
    <w:rsid w:val="10C3503C"/>
    <w:rsid w:val="11001DB4"/>
    <w:rsid w:val="111658E5"/>
    <w:rsid w:val="113158BE"/>
    <w:rsid w:val="115629E6"/>
    <w:rsid w:val="11572DD1"/>
    <w:rsid w:val="11A54D2F"/>
    <w:rsid w:val="11DC793A"/>
    <w:rsid w:val="12300753"/>
    <w:rsid w:val="1241192F"/>
    <w:rsid w:val="1243706F"/>
    <w:rsid w:val="1257267A"/>
    <w:rsid w:val="12602B9D"/>
    <w:rsid w:val="127E02A8"/>
    <w:rsid w:val="12A472D8"/>
    <w:rsid w:val="12BA4D2B"/>
    <w:rsid w:val="12F015F0"/>
    <w:rsid w:val="12FE321B"/>
    <w:rsid w:val="130859B8"/>
    <w:rsid w:val="13270013"/>
    <w:rsid w:val="133D5B30"/>
    <w:rsid w:val="134423F9"/>
    <w:rsid w:val="135C64DF"/>
    <w:rsid w:val="137E61B0"/>
    <w:rsid w:val="13B93517"/>
    <w:rsid w:val="13D91C28"/>
    <w:rsid w:val="141F2191"/>
    <w:rsid w:val="142A7523"/>
    <w:rsid w:val="142C1472"/>
    <w:rsid w:val="144D324A"/>
    <w:rsid w:val="14A10B44"/>
    <w:rsid w:val="14C24824"/>
    <w:rsid w:val="14DD01BC"/>
    <w:rsid w:val="151F7257"/>
    <w:rsid w:val="154567F6"/>
    <w:rsid w:val="15493DAC"/>
    <w:rsid w:val="15604ABA"/>
    <w:rsid w:val="156347B2"/>
    <w:rsid w:val="157101B4"/>
    <w:rsid w:val="1575AEB2"/>
    <w:rsid w:val="15836BA2"/>
    <w:rsid w:val="164F7F6D"/>
    <w:rsid w:val="165E068A"/>
    <w:rsid w:val="16634200"/>
    <w:rsid w:val="16BD383B"/>
    <w:rsid w:val="16BE5A28"/>
    <w:rsid w:val="16F341CC"/>
    <w:rsid w:val="1702D3F2"/>
    <w:rsid w:val="17041BA2"/>
    <w:rsid w:val="17230415"/>
    <w:rsid w:val="179D5DD6"/>
    <w:rsid w:val="17A36C4C"/>
    <w:rsid w:val="17A625DA"/>
    <w:rsid w:val="17B77676"/>
    <w:rsid w:val="17FB0513"/>
    <w:rsid w:val="183925F8"/>
    <w:rsid w:val="188D2058"/>
    <w:rsid w:val="18BA7603"/>
    <w:rsid w:val="18FD3F86"/>
    <w:rsid w:val="19235F0B"/>
    <w:rsid w:val="192B740B"/>
    <w:rsid w:val="192D5C32"/>
    <w:rsid w:val="193F26F1"/>
    <w:rsid w:val="19497C62"/>
    <w:rsid w:val="196337C8"/>
    <w:rsid w:val="198A694D"/>
    <w:rsid w:val="19980545"/>
    <w:rsid w:val="19A063D4"/>
    <w:rsid w:val="19AB1091"/>
    <w:rsid w:val="19AD04C2"/>
    <w:rsid w:val="19CA09F8"/>
    <w:rsid w:val="19E117C3"/>
    <w:rsid w:val="19F73CC7"/>
    <w:rsid w:val="19FA7F54"/>
    <w:rsid w:val="1A347816"/>
    <w:rsid w:val="1A4B674E"/>
    <w:rsid w:val="1A514204"/>
    <w:rsid w:val="1A884F76"/>
    <w:rsid w:val="1AD44303"/>
    <w:rsid w:val="1AFB1F5A"/>
    <w:rsid w:val="1B2E6DC7"/>
    <w:rsid w:val="1B2F4C96"/>
    <w:rsid w:val="1B30699D"/>
    <w:rsid w:val="1B5316CE"/>
    <w:rsid w:val="1B5E59D2"/>
    <w:rsid w:val="1B8650AC"/>
    <w:rsid w:val="1B9328C0"/>
    <w:rsid w:val="1BAA19D4"/>
    <w:rsid w:val="1BF579B9"/>
    <w:rsid w:val="1C0958D4"/>
    <w:rsid w:val="1C6013C8"/>
    <w:rsid w:val="1C766428"/>
    <w:rsid w:val="1C874259"/>
    <w:rsid w:val="1CB8431B"/>
    <w:rsid w:val="1D38234F"/>
    <w:rsid w:val="1D4B6511"/>
    <w:rsid w:val="1D540375"/>
    <w:rsid w:val="1D6D1D33"/>
    <w:rsid w:val="1D7806A7"/>
    <w:rsid w:val="1DA71CFD"/>
    <w:rsid w:val="1DAB29A2"/>
    <w:rsid w:val="1DB14731"/>
    <w:rsid w:val="1DB502B8"/>
    <w:rsid w:val="1DC3039C"/>
    <w:rsid w:val="1DD50930"/>
    <w:rsid w:val="1DE66DDE"/>
    <w:rsid w:val="1DEE1CB6"/>
    <w:rsid w:val="1DF407BB"/>
    <w:rsid w:val="1E38003B"/>
    <w:rsid w:val="1E4207AD"/>
    <w:rsid w:val="1E4A56A9"/>
    <w:rsid w:val="1E5366C1"/>
    <w:rsid w:val="1E5564BA"/>
    <w:rsid w:val="1F3E495B"/>
    <w:rsid w:val="1F7D69DC"/>
    <w:rsid w:val="1F850095"/>
    <w:rsid w:val="1FB91CD0"/>
    <w:rsid w:val="1FBD523C"/>
    <w:rsid w:val="1FC627E2"/>
    <w:rsid w:val="1FD85109"/>
    <w:rsid w:val="1FDA5618"/>
    <w:rsid w:val="20221E88"/>
    <w:rsid w:val="20392AB6"/>
    <w:rsid w:val="20407EE3"/>
    <w:rsid w:val="20750BDD"/>
    <w:rsid w:val="207A12F6"/>
    <w:rsid w:val="20910CB1"/>
    <w:rsid w:val="20CD42FE"/>
    <w:rsid w:val="20D72496"/>
    <w:rsid w:val="20D8129A"/>
    <w:rsid w:val="20DD44A9"/>
    <w:rsid w:val="20E72124"/>
    <w:rsid w:val="20EA6C81"/>
    <w:rsid w:val="2102102E"/>
    <w:rsid w:val="21035A99"/>
    <w:rsid w:val="210811E1"/>
    <w:rsid w:val="210D039E"/>
    <w:rsid w:val="21282288"/>
    <w:rsid w:val="214B4914"/>
    <w:rsid w:val="21692244"/>
    <w:rsid w:val="218A241C"/>
    <w:rsid w:val="21942DDB"/>
    <w:rsid w:val="21996DA9"/>
    <w:rsid w:val="21E84CEC"/>
    <w:rsid w:val="21F305F4"/>
    <w:rsid w:val="21FA58F2"/>
    <w:rsid w:val="2201038D"/>
    <w:rsid w:val="223D290D"/>
    <w:rsid w:val="22643883"/>
    <w:rsid w:val="228E2F4A"/>
    <w:rsid w:val="229E5ACA"/>
    <w:rsid w:val="22C62A0D"/>
    <w:rsid w:val="22C66D30"/>
    <w:rsid w:val="23247878"/>
    <w:rsid w:val="232A2F45"/>
    <w:rsid w:val="235E6A85"/>
    <w:rsid w:val="23680C07"/>
    <w:rsid w:val="23865E08"/>
    <w:rsid w:val="239E142D"/>
    <w:rsid w:val="23AF7474"/>
    <w:rsid w:val="23B52B8E"/>
    <w:rsid w:val="23C901FD"/>
    <w:rsid w:val="23EA21A8"/>
    <w:rsid w:val="245870DE"/>
    <w:rsid w:val="247247A7"/>
    <w:rsid w:val="2473146A"/>
    <w:rsid w:val="24816688"/>
    <w:rsid w:val="24927781"/>
    <w:rsid w:val="24956530"/>
    <w:rsid w:val="24A768B2"/>
    <w:rsid w:val="24BF3793"/>
    <w:rsid w:val="24D92091"/>
    <w:rsid w:val="24EA317B"/>
    <w:rsid w:val="258728BF"/>
    <w:rsid w:val="259A183C"/>
    <w:rsid w:val="25B371B9"/>
    <w:rsid w:val="25FD5F47"/>
    <w:rsid w:val="26335F86"/>
    <w:rsid w:val="268C60B5"/>
    <w:rsid w:val="26B04FB4"/>
    <w:rsid w:val="27470D0A"/>
    <w:rsid w:val="275B67F9"/>
    <w:rsid w:val="275E699A"/>
    <w:rsid w:val="276B0C45"/>
    <w:rsid w:val="2793390D"/>
    <w:rsid w:val="27BC4CD9"/>
    <w:rsid w:val="27C5366D"/>
    <w:rsid w:val="27DD67CA"/>
    <w:rsid w:val="28241229"/>
    <w:rsid w:val="28347A0A"/>
    <w:rsid w:val="28384A79"/>
    <w:rsid w:val="2839733E"/>
    <w:rsid w:val="28471CDA"/>
    <w:rsid w:val="28690808"/>
    <w:rsid w:val="286E4F2A"/>
    <w:rsid w:val="28B07E55"/>
    <w:rsid w:val="28B54AA2"/>
    <w:rsid w:val="290232E4"/>
    <w:rsid w:val="290D64D6"/>
    <w:rsid w:val="292476C1"/>
    <w:rsid w:val="29344515"/>
    <w:rsid w:val="29441D0D"/>
    <w:rsid w:val="294D6347"/>
    <w:rsid w:val="29747515"/>
    <w:rsid w:val="29C2594E"/>
    <w:rsid w:val="29E50AC8"/>
    <w:rsid w:val="29F7645F"/>
    <w:rsid w:val="2A0F0B23"/>
    <w:rsid w:val="2A52459E"/>
    <w:rsid w:val="2A5A3CF7"/>
    <w:rsid w:val="2A5E31FB"/>
    <w:rsid w:val="2AC01DF9"/>
    <w:rsid w:val="2AC65A40"/>
    <w:rsid w:val="2AD201BE"/>
    <w:rsid w:val="2AD7786F"/>
    <w:rsid w:val="2AE17007"/>
    <w:rsid w:val="2AE363E3"/>
    <w:rsid w:val="2AFE2B7E"/>
    <w:rsid w:val="2B1B7019"/>
    <w:rsid w:val="2B2A35AE"/>
    <w:rsid w:val="2B5D7AD6"/>
    <w:rsid w:val="2B7E5327"/>
    <w:rsid w:val="2B8E5174"/>
    <w:rsid w:val="2BAD26FA"/>
    <w:rsid w:val="2BC175ED"/>
    <w:rsid w:val="2C5D0FC2"/>
    <w:rsid w:val="2C731E01"/>
    <w:rsid w:val="2C880E99"/>
    <w:rsid w:val="2CD57B0B"/>
    <w:rsid w:val="2CE84050"/>
    <w:rsid w:val="2CF0147F"/>
    <w:rsid w:val="2D101F24"/>
    <w:rsid w:val="2D36562A"/>
    <w:rsid w:val="2D376513"/>
    <w:rsid w:val="2D3805E9"/>
    <w:rsid w:val="2D3B55CA"/>
    <w:rsid w:val="2D3B7E35"/>
    <w:rsid w:val="2D902A98"/>
    <w:rsid w:val="2DA93B26"/>
    <w:rsid w:val="2DC863F1"/>
    <w:rsid w:val="2DCF27BD"/>
    <w:rsid w:val="2E086503"/>
    <w:rsid w:val="2E28633F"/>
    <w:rsid w:val="2E2E5FB6"/>
    <w:rsid w:val="2E4D45F8"/>
    <w:rsid w:val="2E500B54"/>
    <w:rsid w:val="2E563CD9"/>
    <w:rsid w:val="2EB72406"/>
    <w:rsid w:val="2EC511CE"/>
    <w:rsid w:val="2EDA5914"/>
    <w:rsid w:val="2EE35AD4"/>
    <w:rsid w:val="2F121AD6"/>
    <w:rsid w:val="2F2367DE"/>
    <w:rsid w:val="2F4443E0"/>
    <w:rsid w:val="2F536D13"/>
    <w:rsid w:val="2F797B38"/>
    <w:rsid w:val="2F7B2D23"/>
    <w:rsid w:val="2F994058"/>
    <w:rsid w:val="2FA773D4"/>
    <w:rsid w:val="2FF03A5A"/>
    <w:rsid w:val="2FF17CD6"/>
    <w:rsid w:val="30147C32"/>
    <w:rsid w:val="304D1A58"/>
    <w:rsid w:val="30534BC3"/>
    <w:rsid w:val="307E1ED6"/>
    <w:rsid w:val="30865383"/>
    <w:rsid w:val="31542D3B"/>
    <w:rsid w:val="318B5075"/>
    <w:rsid w:val="31EB7BF1"/>
    <w:rsid w:val="31FB2C3F"/>
    <w:rsid w:val="32166614"/>
    <w:rsid w:val="32363829"/>
    <w:rsid w:val="323A6226"/>
    <w:rsid w:val="3245071E"/>
    <w:rsid w:val="32506A14"/>
    <w:rsid w:val="32832752"/>
    <w:rsid w:val="32CB5D97"/>
    <w:rsid w:val="32D709C8"/>
    <w:rsid w:val="32FE23BF"/>
    <w:rsid w:val="33006AEC"/>
    <w:rsid w:val="330E6893"/>
    <w:rsid w:val="331628B8"/>
    <w:rsid w:val="336F3742"/>
    <w:rsid w:val="3381468D"/>
    <w:rsid w:val="339F1C94"/>
    <w:rsid w:val="33C83CD0"/>
    <w:rsid w:val="33DE0CB9"/>
    <w:rsid w:val="344F6A36"/>
    <w:rsid w:val="34B3395F"/>
    <w:rsid w:val="34C13D72"/>
    <w:rsid w:val="34C6564E"/>
    <w:rsid w:val="34E875BF"/>
    <w:rsid w:val="350F1170"/>
    <w:rsid w:val="3511129D"/>
    <w:rsid w:val="351A406B"/>
    <w:rsid w:val="354B66B7"/>
    <w:rsid w:val="354F2DC1"/>
    <w:rsid w:val="357D45BC"/>
    <w:rsid w:val="359455FE"/>
    <w:rsid w:val="361206C7"/>
    <w:rsid w:val="36484FC1"/>
    <w:rsid w:val="366679F6"/>
    <w:rsid w:val="366842AF"/>
    <w:rsid w:val="36695762"/>
    <w:rsid w:val="36B373B0"/>
    <w:rsid w:val="36CD07B0"/>
    <w:rsid w:val="370571A6"/>
    <w:rsid w:val="37153A8B"/>
    <w:rsid w:val="373C5C66"/>
    <w:rsid w:val="375C57D7"/>
    <w:rsid w:val="3768644D"/>
    <w:rsid w:val="37906AFA"/>
    <w:rsid w:val="37B25272"/>
    <w:rsid w:val="37DA4918"/>
    <w:rsid w:val="37DD651E"/>
    <w:rsid w:val="37FB6D87"/>
    <w:rsid w:val="3817389B"/>
    <w:rsid w:val="385A4D4A"/>
    <w:rsid w:val="38A94A77"/>
    <w:rsid w:val="38BA113F"/>
    <w:rsid w:val="38E27DEC"/>
    <w:rsid w:val="38F328BC"/>
    <w:rsid w:val="391609BB"/>
    <w:rsid w:val="391E2B4B"/>
    <w:rsid w:val="392E6400"/>
    <w:rsid w:val="393C3987"/>
    <w:rsid w:val="39937B6F"/>
    <w:rsid w:val="39B82059"/>
    <w:rsid w:val="39D31BEF"/>
    <w:rsid w:val="39FE11BA"/>
    <w:rsid w:val="3A0677A1"/>
    <w:rsid w:val="3A0F0E32"/>
    <w:rsid w:val="3A135075"/>
    <w:rsid w:val="3A217639"/>
    <w:rsid w:val="3A3968C0"/>
    <w:rsid w:val="3A4C1C4E"/>
    <w:rsid w:val="3A505EF3"/>
    <w:rsid w:val="3A563658"/>
    <w:rsid w:val="3A632979"/>
    <w:rsid w:val="3A8424B5"/>
    <w:rsid w:val="3A867AE8"/>
    <w:rsid w:val="3A897973"/>
    <w:rsid w:val="3AB31D0C"/>
    <w:rsid w:val="3AD97E3A"/>
    <w:rsid w:val="3AF97BA4"/>
    <w:rsid w:val="3B0E2B61"/>
    <w:rsid w:val="3B141B02"/>
    <w:rsid w:val="3B1C30D7"/>
    <w:rsid w:val="3B3961CE"/>
    <w:rsid w:val="3B4A3B53"/>
    <w:rsid w:val="3B5651BA"/>
    <w:rsid w:val="3B5E002C"/>
    <w:rsid w:val="3B8B323D"/>
    <w:rsid w:val="3B94063F"/>
    <w:rsid w:val="3BDE4D0D"/>
    <w:rsid w:val="3BF47021"/>
    <w:rsid w:val="3C1C5A4E"/>
    <w:rsid w:val="3C3D7B3D"/>
    <w:rsid w:val="3C795A31"/>
    <w:rsid w:val="3C923082"/>
    <w:rsid w:val="3CFF2D15"/>
    <w:rsid w:val="3D0354C7"/>
    <w:rsid w:val="3D0B5D73"/>
    <w:rsid w:val="3D130444"/>
    <w:rsid w:val="3D503759"/>
    <w:rsid w:val="3D526BA9"/>
    <w:rsid w:val="3D561041"/>
    <w:rsid w:val="3D5C6F45"/>
    <w:rsid w:val="3D7642C9"/>
    <w:rsid w:val="3D7E0823"/>
    <w:rsid w:val="3D7F5A28"/>
    <w:rsid w:val="3D805F24"/>
    <w:rsid w:val="3D863402"/>
    <w:rsid w:val="3D882D0F"/>
    <w:rsid w:val="3DAA038F"/>
    <w:rsid w:val="3DDA6D42"/>
    <w:rsid w:val="3DE26C3E"/>
    <w:rsid w:val="3DE85362"/>
    <w:rsid w:val="3E01783E"/>
    <w:rsid w:val="3E060750"/>
    <w:rsid w:val="3E3769E2"/>
    <w:rsid w:val="3E4165FB"/>
    <w:rsid w:val="3E7347F4"/>
    <w:rsid w:val="3E7B4C65"/>
    <w:rsid w:val="3E8552C0"/>
    <w:rsid w:val="3E85534F"/>
    <w:rsid w:val="3E922DCB"/>
    <w:rsid w:val="3EF83C43"/>
    <w:rsid w:val="3F01664D"/>
    <w:rsid w:val="3F114929"/>
    <w:rsid w:val="3F175FC8"/>
    <w:rsid w:val="3F1A4DA4"/>
    <w:rsid w:val="3F374493"/>
    <w:rsid w:val="3F46399B"/>
    <w:rsid w:val="3F4A203A"/>
    <w:rsid w:val="3F747BDB"/>
    <w:rsid w:val="3F926FEA"/>
    <w:rsid w:val="3FD010A5"/>
    <w:rsid w:val="3FDC7494"/>
    <w:rsid w:val="401A7BA3"/>
    <w:rsid w:val="401C2F16"/>
    <w:rsid w:val="40500CC8"/>
    <w:rsid w:val="40850DCD"/>
    <w:rsid w:val="40C3090C"/>
    <w:rsid w:val="41310486"/>
    <w:rsid w:val="413224B2"/>
    <w:rsid w:val="41580881"/>
    <w:rsid w:val="41A75CD3"/>
    <w:rsid w:val="41AC1D9C"/>
    <w:rsid w:val="41E90AD7"/>
    <w:rsid w:val="41FE519E"/>
    <w:rsid w:val="4207424C"/>
    <w:rsid w:val="423166BF"/>
    <w:rsid w:val="4242619A"/>
    <w:rsid w:val="42933199"/>
    <w:rsid w:val="42B20782"/>
    <w:rsid w:val="42F44466"/>
    <w:rsid w:val="43444545"/>
    <w:rsid w:val="4345438E"/>
    <w:rsid w:val="434D41C7"/>
    <w:rsid w:val="438741B0"/>
    <w:rsid w:val="43C24C5B"/>
    <w:rsid w:val="44024A8B"/>
    <w:rsid w:val="44917C93"/>
    <w:rsid w:val="44B612FA"/>
    <w:rsid w:val="44BA4099"/>
    <w:rsid w:val="44D1088A"/>
    <w:rsid w:val="44F04ED5"/>
    <w:rsid w:val="450F64B8"/>
    <w:rsid w:val="459F6357"/>
    <w:rsid w:val="45D57D61"/>
    <w:rsid w:val="45FA263C"/>
    <w:rsid w:val="45FF0F27"/>
    <w:rsid w:val="464D0D0B"/>
    <w:rsid w:val="46547891"/>
    <w:rsid w:val="4666252F"/>
    <w:rsid w:val="467320E7"/>
    <w:rsid w:val="4684407C"/>
    <w:rsid w:val="468E37DA"/>
    <w:rsid w:val="469E1448"/>
    <w:rsid w:val="46D41E44"/>
    <w:rsid w:val="46E6761D"/>
    <w:rsid w:val="46F114A1"/>
    <w:rsid w:val="46FE5B00"/>
    <w:rsid w:val="47AE2F53"/>
    <w:rsid w:val="47D53EDA"/>
    <w:rsid w:val="47F6467C"/>
    <w:rsid w:val="47FA0721"/>
    <w:rsid w:val="47FC4735"/>
    <w:rsid w:val="483B1BF1"/>
    <w:rsid w:val="487C2B41"/>
    <w:rsid w:val="48D53256"/>
    <w:rsid w:val="48E22BC6"/>
    <w:rsid w:val="48ED2CFA"/>
    <w:rsid w:val="48EF4086"/>
    <w:rsid w:val="49174A6C"/>
    <w:rsid w:val="49446ABC"/>
    <w:rsid w:val="496938E0"/>
    <w:rsid w:val="4986043B"/>
    <w:rsid w:val="49882B35"/>
    <w:rsid w:val="499F72E2"/>
    <w:rsid w:val="49A91145"/>
    <w:rsid w:val="49B80108"/>
    <w:rsid w:val="49E975E4"/>
    <w:rsid w:val="4A2C20DE"/>
    <w:rsid w:val="4A6E396E"/>
    <w:rsid w:val="4A74301A"/>
    <w:rsid w:val="4A8F1807"/>
    <w:rsid w:val="4AA720A1"/>
    <w:rsid w:val="4AB22D3D"/>
    <w:rsid w:val="4B3872E6"/>
    <w:rsid w:val="4B425BC8"/>
    <w:rsid w:val="4B474F84"/>
    <w:rsid w:val="4B761DE8"/>
    <w:rsid w:val="4B816508"/>
    <w:rsid w:val="4B822C56"/>
    <w:rsid w:val="4BA329C5"/>
    <w:rsid w:val="4BD33F29"/>
    <w:rsid w:val="4BFB5CA4"/>
    <w:rsid w:val="4BFC1ADF"/>
    <w:rsid w:val="4C611769"/>
    <w:rsid w:val="4C7162C0"/>
    <w:rsid w:val="4C822291"/>
    <w:rsid w:val="4CA149AE"/>
    <w:rsid w:val="4CAD5DF9"/>
    <w:rsid w:val="4D0B35CB"/>
    <w:rsid w:val="4D280365"/>
    <w:rsid w:val="4D291687"/>
    <w:rsid w:val="4D7A6095"/>
    <w:rsid w:val="4DBF6FE1"/>
    <w:rsid w:val="4DCA18F8"/>
    <w:rsid w:val="4DD0057E"/>
    <w:rsid w:val="4DD71CEE"/>
    <w:rsid w:val="4DF51404"/>
    <w:rsid w:val="4E4F585C"/>
    <w:rsid w:val="4E5633F4"/>
    <w:rsid w:val="4E57579B"/>
    <w:rsid w:val="4E7740D9"/>
    <w:rsid w:val="4E8D5940"/>
    <w:rsid w:val="4EA774CF"/>
    <w:rsid w:val="4EAC0AFF"/>
    <w:rsid w:val="4EC2021D"/>
    <w:rsid w:val="4EC57BBB"/>
    <w:rsid w:val="4ECF3669"/>
    <w:rsid w:val="4EEC6143"/>
    <w:rsid w:val="4F194024"/>
    <w:rsid w:val="4F1A4632"/>
    <w:rsid w:val="4F500C16"/>
    <w:rsid w:val="4F5920B1"/>
    <w:rsid w:val="4F701EA9"/>
    <w:rsid w:val="4F7E4F09"/>
    <w:rsid w:val="4F9E37D8"/>
    <w:rsid w:val="4FCD67BD"/>
    <w:rsid w:val="4FCF2C78"/>
    <w:rsid w:val="4FDB228E"/>
    <w:rsid w:val="4FE3050E"/>
    <w:rsid w:val="4FF71436"/>
    <w:rsid w:val="50196694"/>
    <w:rsid w:val="5075365A"/>
    <w:rsid w:val="50946E51"/>
    <w:rsid w:val="50B913A9"/>
    <w:rsid w:val="50CD6950"/>
    <w:rsid w:val="50FD13B2"/>
    <w:rsid w:val="5125709E"/>
    <w:rsid w:val="513E16AC"/>
    <w:rsid w:val="519A2ED0"/>
    <w:rsid w:val="51DA1198"/>
    <w:rsid w:val="51E51431"/>
    <w:rsid w:val="52546F3F"/>
    <w:rsid w:val="527A1D76"/>
    <w:rsid w:val="52932641"/>
    <w:rsid w:val="52AA6BF6"/>
    <w:rsid w:val="52BB6452"/>
    <w:rsid w:val="52FE30BB"/>
    <w:rsid w:val="52FE6B60"/>
    <w:rsid w:val="530B04A9"/>
    <w:rsid w:val="534D67C2"/>
    <w:rsid w:val="535564DE"/>
    <w:rsid w:val="536E79E7"/>
    <w:rsid w:val="53742E9C"/>
    <w:rsid w:val="539E422E"/>
    <w:rsid w:val="53AA331E"/>
    <w:rsid w:val="53B442DB"/>
    <w:rsid w:val="53C25107"/>
    <w:rsid w:val="53C81003"/>
    <w:rsid w:val="53CA6193"/>
    <w:rsid w:val="54152D75"/>
    <w:rsid w:val="54197AD0"/>
    <w:rsid w:val="543314F7"/>
    <w:rsid w:val="545200D3"/>
    <w:rsid w:val="54920CC3"/>
    <w:rsid w:val="54CE2507"/>
    <w:rsid w:val="54E53683"/>
    <w:rsid w:val="54F930BC"/>
    <w:rsid w:val="55040173"/>
    <w:rsid w:val="55181CD2"/>
    <w:rsid w:val="553C09BC"/>
    <w:rsid w:val="555B6972"/>
    <w:rsid w:val="557F573F"/>
    <w:rsid w:val="55841CFB"/>
    <w:rsid w:val="55963CF5"/>
    <w:rsid w:val="55CA1D79"/>
    <w:rsid w:val="55D01D97"/>
    <w:rsid w:val="56343517"/>
    <w:rsid w:val="56527109"/>
    <w:rsid w:val="566539B4"/>
    <w:rsid w:val="567275A6"/>
    <w:rsid w:val="567779AC"/>
    <w:rsid w:val="56D00DA3"/>
    <w:rsid w:val="56DC5354"/>
    <w:rsid w:val="56F62A8E"/>
    <w:rsid w:val="57032C03"/>
    <w:rsid w:val="57244B18"/>
    <w:rsid w:val="572B62DF"/>
    <w:rsid w:val="572C238F"/>
    <w:rsid w:val="57C3516C"/>
    <w:rsid w:val="57E675AF"/>
    <w:rsid w:val="57EF6871"/>
    <w:rsid w:val="57F4177E"/>
    <w:rsid w:val="5821737E"/>
    <w:rsid w:val="58240039"/>
    <w:rsid w:val="583E67FE"/>
    <w:rsid w:val="58400129"/>
    <w:rsid w:val="585E498C"/>
    <w:rsid w:val="585F180A"/>
    <w:rsid w:val="587970AE"/>
    <w:rsid w:val="58877D7C"/>
    <w:rsid w:val="58A143C6"/>
    <w:rsid w:val="58B110D3"/>
    <w:rsid w:val="58D51A75"/>
    <w:rsid w:val="58F433FF"/>
    <w:rsid w:val="59327D27"/>
    <w:rsid w:val="59394F5E"/>
    <w:rsid w:val="59446631"/>
    <w:rsid w:val="595A121E"/>
    <w:rsid w:val="597C7398"/>
    <w:rsid w:val="59825B44"/>
    <w:rsid w:val="59904C1E"/>
    <w:rsid w:val="59C65DC2"/>
    <w:rsid w:val="59C75644"/>
    <w:rsid w:val="59DC6762"/>
    <w:rsid w:val="5A7A0260"/>
    <w:rsid w:val="5A814BDD"/>
    <w:rsid w:val="5AA758C9"/>
    <w:rsid w:val="5AB5526E"/>
    <w:rsid w:val="5ADC498D"/>
    <w:rsid w:val="5AF07FF7"/>
    <w:rsid w:val="5AF422E5"/>
    <w:rsid w:val="5B067D0A"/>
    <w:rsid w:val="5B3B7F82"/>
    <w:rsid w:val="5B6858CF"/>
    <w:rsid w:val="5B8508B6"/>
    <w:rsid w:val="5B8D1FED"/>
    <w:rsid w:val="5BA105AC"/>
    <w:rsid w:val="5BC940E0"/>
    <w:rsid w:val="5BD85C98"/>
    <w:rsid w:val="5BF26431"/>
    <w:rsid w:val="5BFA172C"/>
    <w:rsid w:val="5C494988"/>
    <w:rsid w:val="5C675F74"/>
    <w:rsid w:val="5C782ABA"/>
    <w:rsid w:val="5C880332"/>
    <w:rsid w:val="5CB57D16"/>
    <w:rsid w:val="5CD36306"/>
    <w:rsid w:val="5CE549FC"/>
    <w:rsid w:val="5D023328"/>
    <w:rsid w:val="5D123F7C"/>
    <w:rsid w:val="5D1D2554"/>
    <w:rsid w:val="5D2F7CD6"/>
    <w:rsid w:val="5D7D1544"/>
    <w:rsid w:val="5D7D4759"/>
    <w:rsid w:val="5D830A96"/>
    <w:rsid w:val="5D9063A0"/>
    <w:rsid w:val="5E2406E4"/>
    <w:rsid w:val="5E5E0C68"/>
    <w:rsid w:val="5E780DEA"/>
    <w:rsid w:val="5E9D367C"/>
    <w:rsid w:val="5EDA20C0"/>
    <w:rsid w:val="5EDE4AA5"/>
    <w:rsid w:val="5F516ACA"/>
    <w:rsid w:val="5F5622E4"/>
    <w:rsid w:val="5F631FA8"/>
    <w:rsid w:val="5F721888"/>
    <w:rsid w:val="5F750B1F"/>
    <w:rsid w:val="5F8A32D2"/>
    <w:rsid w:val="5FC40414"/>
    <w:rsid w:val="60440F72"/>
    <w:rsid w:val="605104DD"/>
    <w:rsid w:val="605543B7"/>
    <w:rsid w:val="6071382F"/>
    <w:rsid w:val="60867BFB"/>
    <w:rsid w:val="60871227"/>
    <w:rsid w:val="609430EC"/>
    <w:rsid w:val="60AC41CD"/>
    <w:rsid w:val="6133512D"/>
    <w:rsid w:val="614566A2"/>
    <w:rsid w:val="61663C93"/>
    <w:rsid w:val="61997FE5"/>
    <w:rsid w:val="61AD3F41"/>
    <w:rsid w:val="61AF6C07"/>
    <w:rsid w:val="61E93730"/>
    <w:rsid w:val="6216077A"/>
    <w:rsid w:val="62187782"/>
    <w:rsid w:val="62591EBD"/>
    <w:rsid w:val="62D40063"/>
    <w:rsid w:val="63027F37"/>
    <w:rsid w:val="632D3B23"/>
    <w:rsid w:val="635A6F07"/>
    <w:rsid w:val="63615C47"/>
    <w:rsid w:val="63784C5D"/>
    <w:rsid w:val="6386412B"/>
    <w:rsid w:val="639000ED"/>
    <w:rsid w:val="63A44F76"/>
    <w:rsid w:val="63BC2D1F"/>
    <w:rsid w:val="6411205B"/>
    <w:rsid w:val="64165B94"/>
    <w:rsid w:val="6456298D"/>
    <w:rsid w:val="645A2367"/>
    <w:rsid w:val="64B81625"/>
    <w:rsid w:val="64FE5F12"/>
    <w:rsid w:val="65294801"/>
    <w:rsid w:val="654B48AE"/>
    <w:rsid w:val="65507243"/>
    <w:rsid w:val="65576B9C"/>
    <w:rsid w:val="656027FF"/>
    <w:rsid w:val="65891AB8"/>
    <w:rsid w:val="65B11FF7"/>
    <w:rsid w:val="65BA58F3"/>
    <w:rsid w:val="662D78AC"/>
    <w:rsid w:val="66410285"/>
    <w:rsid w:val="66457E51"/>
    <w:rsid w:val="664A0A82"/>
    <w:rsid w:val="6650714A"/>
    <w:rsid w:val="6680376E"/>
    <w:rsid w:val="669A3056"/>
    <w:rsid w:val="66ED31EA"/>
    <w:rsid w:val="66F100AC"/>
    <w:rsid w:val="6754041A"/>
    <w:rsid w:val="67816878"/>
    <w:rsid w:val="67A2022D"/>
    <w:rsid w:val="67BF1301"/>
    <w:rsid w:val="67E120F3"/>
    <w:rsid w:val="67E72DEC"/>
    <w:rsid w:val="67FA3E47"/>
    <w:rsid w:val="68085293"/>
    <w:rsid w:val="68322DF6"/>
    <w:rsid w:val="684010FB"/>
    <w:rsid w:val="6851376E"/>
    <w:rsid w:val="686C31D7"/>
    <w:rsid w:val="68AB7B1F"/>
    <w:rsid w:val="68F07009"/>
    <w:rsid w:val="69056328"/>
    <w:rsid w:val="690D06FD"/>
    <w:rsid w:val="691A3243"/>
    <w:rsid w:val="695B0623"/>
    <w:rsid w:val="69631CC1"/>
    <w:rsid w:val="696C42BB"/>
    <w:rsid w:val="698A6B0F"/>
    <w:rsid w:val="69BA4D2E"/>
    <w:rsid w:val="69D232C1"/>
    <w:rsid w:val="6A27755C"/>
    <w:rsid w:val="6A782EAA"/>
    <w:rsid w:val="6A9D0EAA"/>
    <w:rsid w:val="6AB218D8"/>
    <w:rsid w:val="6AB52B9D"/>
    <w:rsid w:val="6ABA7E95"/>
    <w:rsid w:val="6AC678E7"/>
    <w:rsid w:val="6B4A20D9"/>
    <w:rsid w:val="6B58578D"/>
    <w:rsid w:val="6B704279"/>
    <w:rsid w:val="6BB753C9"/>
    <w:rsid w:val="6BD06E0B"/>
    <w:rsid w:val="6C152D7A"/>
    <w:rsid w:val="6C4E23A0"/>
    <w:rsid w:val="6C911A64"/>
    <w:rsid w:val="6CBF4B38"/>
    <w:rsid w:val="6CCC0C2E"/>
    <w:rsid w:val="6D020EA1"/>
    <w:rsid w:val="6D221C0A"/>
    <w:rsid w:val="6D2D4970"/>
    <w:rsid w:val="6D713096"/>
    <w:rsid w:val="6D78666A"/>
    <w:rsid w:val="6DD86485"/>
    <w:rsid w:val="6E0F1211"/>
    <w:rsid w:val="6E362A51"/>
    <w:rsid w:val="6E7F1F1A"/>
    <w:rsid w:val="6EF677CA"/>
    <w:rsid w:val="6F560EDF"/>
    <w:rsid w:val="6F60096A"/>
    <w:rsid w:val="6F64491D"/>
    <w:rsid w:val="6F6E1156"/>
    <w:rsid w:val="6F82524F"/>
    <w:rsid w:val="6F924603"/>
    <w:rsid w:val="6F9E7C52"/>
    <w:rsid w:val="6FA231AB"/>
    <w:rsid w:val="6FBD0858"/>
    <w:rsid w:val="700A6A7B"/>
    <w:rsid w:val="70180E63"/>
    <w:rsid w:val="70257596"/>
    <w:rsid w:val="70534383"/>
    <w:rsid w:val="709F2B6A"/>
    <w:rsid w:val="70A63951"/>
    <w:rsid w:val="70CF6A45"/>
    <w:rsid w:val="711B1DE7"/>
    <w:rsid w:val="71327C99"/>
    <w:rsid w:val="7150596E"/>
    <w:rsid w:val="71957047"/>
    <w:rsid w:val="71B7115A"/>
    <w:rsid w:val="71C7583B"/>
    <w:rsid w:val="71F715BA"/>
    <w:rsid w:val="722D1013"/>
    <w:rsid w:val="72374F72"/>
    <w:rsid w:val="72925464"/>
    <w:rsid w:val="72940930"/>
    <w:rsid w:val="72DF5C92"/>
    <w:rsid w:val="72E1752D"/>
    <w:rsid w:val="72E4751A"/>
    <w:rsid w:val="72F06546"/>
    <w:rsid w:val="73070EC2"/>
    <w:rsid w:val="73311390"/>
    <w:rsid w:val="739429BE"/>
    <w:rsid w:val="73A015C2"/>
    <w:rsid w:val="73A913CF"/>
    <w:rsid w:val="73C4277F"/>
    <w:rsid w:val="73EB1497"/>
    <w:rsid w:val="74000A47"/>
    <w:rsid w:val="74155ACF"/>
    <w:rsid w:val="74181B33"/>
    <w:rsid w:val="741B2927"/>
    <w:rsid w:val="741E3589"/>
    <w:rsid w:val="74885606"/>
    <w:rsid w:val="74B93719"/>
    <w:rsid w:val="74DE1C4C"/>
    <w:rsid w:val="74E008E0"/>
    <w:rsid w:val="74EF2078"/>
    <w:rsid w:val="751115BE"/>
    <w:rsid w:val="752D1850"/>
    <w:rsid w:val="75740E00"/>
    <w:rsid w:val="759D5584"/>
    <w:rsid w:val="76173BD1"/>
    <w:rsid w:val="76185042"/>
    <w:rsid w:val="763A080C"/>
    <w:rsid w:val="7668687A"/>
    <w:rsid w:val="768C23D4"/>
    <w:rsid w:val="768D355D"/>
    <w:rsid w:val="76C4797D"/>
    <w:rsid w:val="76EB5B39"/>
    <w:rsid w:val="771C24EF"/>
    <w:rsid w:val="77226532"/>
    <w:rsid w:val="774A235B"/>
    <w:rsid w:val="776F4F23"/>
    <w:rsid w:val="77983561"/>
    <w:rsid w:val="77B7463B"/>
    <w:rsid w:val="77C07B7E"/>
    <w:rsid w:val="78156E78"/>
    <w:rsid w:val="782D5EAF"/>
    <w:rsid w:val="786302A1"/>
    <w:rsid w:val="789F1175"/>
    <w:rsid w:val="78B12751"/>
    <w:rsid w:val="78DB34FC"/>
    <w:rsid w:val="792E0846"/>
    <w:rsid w:val="792E4191"/>
    <w:rsid w:val="7931734A"/>
    <w:rsid w:val="796E028F"/>
    <w:rsid w:val="79874382"/>
    <w:rsid w:val="79AD248F"/>
    <w:rsid w:val="79AF12CA"/>
    <w:rsid w:val="79F91D60"/>
    <w:rsid w:val="7A045465"/>
    <w:rsid w:val="7A33023A"/>
    <w:rsid w:val="7A3D1E89"/>
    <w:rsid w:val="7A601B54"/>
    <w:rsid w:val="7A6A7EDA"/>
    <w:rsid w:val="7A6D2733"/>
    <w:rsid w:val="7A793925"/>
    <w:rsid w:val="7A9742EF"/>
    <w:rsid w:val="7A990897"/>
    <w:rsid w:val="7ADB38D4"/>
    <w:rsid w:val="7B195FAF"/>
    <w:rsid w:val="7B2E15E2"/>
    <w:rsid w:val="7B632E6A"/>
    <w:rsid w:val="7B687C50"/>
    <w:rsid w:val="7BA47128"/>
    <w:rsid w:val="7BD0716D"/>
    <w:rsid w:val="7BD70C05"/>
    <w:rsid w:val="7BF178BE"/>
    <w:rsid w:val="7C162975"/>
    <w:rsid w:val="7C7C706C"/>
    <w:rsid w:val="7C857BC3"/>
    <w:rsid w:val="7C914E12"/>
    <w:rsid w:val="7CA72D12"/>
    <w:rsid w:val="7CB97315"/>
    <w:rsid w:val="7CFC59C6"/>
    <w:rsid w:val="7D1320C4"/>
    <w:rsid w:val="7D185B3E"/>
    <w:rsid w:val="7D260359"/>
    <w:rsid w:val="7D3C13AA"/>
    <w:rsid w:val="7D436305"/>
    <w:rsid w:val="7D494141"/>
    <w:rsid w:val="7D4B1C3E"/>
    <w:rsid w:val="7D6D21ED"/>
    <w:rsid w:val="7D787D24"/>
    <w:rsid w:val="7D9D4B39"/>
    <w:rsid w:val="7DBC5A56"/>
    <w:rsid w:val="7DD2691C"/>
    <w:rsid w:val="7DEA220E"/>
    <w:rsid w:val="7DFA3D71"/>
    <w:rsid w:val="7DFD24D8"/>
    <w:rsid w:val="7E237976"/>
    <w:rsid w:val="7E2F12EE"/>
    <w:rsid w:val="7E3563A1"/>
    <w:rsid w:val="7E387110"/>
    <w:rsid w:val="7E5A5095"/>
    <w:rsid w:val="7E9326F9"/>
    <w:rsid w:val="7EE17F80"/>
    <w:rsid w:val="7EE20452"/>
    <w:rsid w:val="7EED743D"/>
    <w:rsid w:val="7F0C7F31"/>
    <w:rsid w:val="7F395D9C"/>
    <w:rsid w:val="7F724C84"/>
    <w:rsid w:val="7FBA0776"/>
    <w:rsid w:val="7FBD45A8"/>
    <w:rsid w:val="7FDE0A9A"/>
    <w:rsid w:val="7FE15855"/>
    <w:rsid w:val="7FEF7EC6"/>
    <w:rsid w:val="7FF44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nhideWhenUsed="0" w:uiPriority="0" w:semiHidden="0" w:name="caption"/>
    <w:lsdException w:qFormat="1" w:uiPriority="99" w:semiHidden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hAnsi="Times New Roman" w:eastAsia="宋体" w:cs="Times New Roman"/>
      <w:lang w:val="en-US" w:eastAsia="en-US" w:bidi="ar-SA"/>
    </w:rPr>
  </w:style>
  <w:style w:type="paragraph" w:styleId="2">
    <w:name w:val="heading 1"/>
    <w:next w:val="1"/>
    <w:link w:val="104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eastAsia="宋体" w:cs="Times New Roman"/>
      <w:sz w:val="28"/>
      <w:lang w:val="en-GB" w:eastAsia="en-US" w:bidi="ar-SA"/>
    </w:rPr>
  </w:style>
  <w:style w:type="paragraph" w:styleId="3">
    <w:name w:val="heading 2"/>
    <w:basedOn w:val="2"/>
    <w:next w:val="1"/>
    <w:link w:val="105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24"/>
    </w:rPr>
  </w:style>
  <w:style w:type="paragraph" w:styleId="4">
    <w:name w:val="heading 3"/>
    <w:basedOn w:val="3"/>
    <w:next w:val="1"/>
    <w:link w:val="106"/>
    <w:qFormat/>
    <w:uiPriority w:val="0"/>
    <w:pPr>
      <w:numPr>
        <w:ilvl w:val="2"/>
      </w:numPr>
      <w:spacing w:before="120"/>
      <w:outlineLvl w:val="2"/>
    </w:pPr>
    <w:rPr>
      <w:sz w:val="20"/>
    </w:rPr>
  </w:style>
  <w:style w:type="paragraph" w:styleId="5">
    <w:name w:val="heading 4"/>
    <w:basedOn w:val="4"/>
    <w:next w:val="1"/>
    <w:link w:val="107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</w:numPr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52">
    <w:name w:val="Default Paragraph Font"/>
    <w:semiHidden/>
    <w:unhideWhenUsed/>
    <w:qFormat/>
    <w:uiPriority w:val="1"/>
  </w:style>
  <w:style w:type="table" w:default="1" w:styleId="5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30"/>
    <w:qFormat/>
    <w:uiPriority w:val="0"/>
    <w:pPr>
      <w:spacing w:before="120" w:after="360"/>
      <w:jc w:val="center"/>
    </w:pPr>
    <w:rPr>
      <w:bCs/>
      <w:i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18"/>
    <w:qFormat/>
    <w:uiPriority w:val="0"/>
    <w:rPr>
      <w:lang w:eastAsia="zh-CN"/>
    </w:rPr>
  </w:style>
  <w:style w:type="paragraph" w:styleId="31">
    <w:name w:val="Body Text 3"/>
    <w:basedOn w:val="1"/>
    <w:qFormat/>
    <w:uiPriority w:val="0"/>
    <w:rPr>
      <w:i/>
    </w:rPr>
  </w:style>
  <w:style w:type="paragraph" w:styleId="32">
    <w:name w:val="Body Text"/>
    <w:basedOn w:val="1"/>
    <w:link w:val="128"/>
    <w:qFormat/>
    <w:uiPriority w:val="0"/>
    <w:pPr>
      <w:spacing w:after="120"/>
    </w:pPr>
    <w:rPr>
      <w:sz w:val="22"/>
      <w:szCs w:val="24"/>
    </w:rPr>
  </w:style>
  <w:style w:type="paragraph" w:styleId="33">
    <w:name w:val="Body Text Indent"/>
    <w:basedOn w:val="1"/>
    <w:qFormat/>
    <w:uiPriority w:val="0"/>
    <w:pPr>
      <w:spacing w:before="240" w:line="240" w:lineRule="exact"/>
      <w:ind w:firstLine="960" w:firstLineChars="400"/>
    </w:pPr>
    <w:rPr>
      <w:rFonts w:eastAsia="楷体_GB2312"/>
      <w:sz w:val="24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27"/>
    <w:qFormat/>
    <w:uiPriority w:val="99"/>
    <w:pPr>
      <w:jc w:val="center"/>
    </w:pPr>
    <w:rPr>
      <w:i/>
    </w:rPr>
  </w:style>
  <w:style w:type="paragraph" w:styleId="38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en-US" w:bidi="ar-SA"/>
    </w:rPr>
  </w:style>
  <w:style w:type="paragraph" w:styleId="39">
    <w:name w:val="Subtitle"/>
    <w:basedOn w:val="1"/>
    <w:next w:val="1"/>
    <w:link w:val="116"/>
    <w:qFormat/>
    <w:uiPriority w:val="0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4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able of figures"/>
    <w:basedOn w:val="1"/>
    <w:next w:val="1"/>
    <w:unhideWhenUsed/>
    <w:qFormat/>
    <w:uiPriority w:val="99"/>
    <w:pPr>
      <w:spacing w:before="120" w:after="120"/>
    </w:pPr>
  </w:style>
  <w:style w:type="paragraph" w:styleId="44">
    <w:name w:val="toc 9"/>
    <w:basedOn w:val="35"/>
    <w:next w:val="1"/>
    <w:semiHidden/>
    <w:qFormat/>
    <w:uiPriority w:val="0"/>
    <w:pPr>
      <w:ind w:left="1418" w:hanging="1418"/>
    </w:pPr>
  </w:style>
  <w:style w:type="paragraph" w:styleId="45">
    <w:name w:val="Body Text 2"/>
    <w:basedOn w:val="1"/>
    <w:qFormat/>
    <w:uiPriority w:val="0"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46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4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8">
    <w:name w:val="index 2"/>
    <w:basedOn w:val="47"/>
    <w:next w:val="1"/>
    <w:semiHidden/>
    <w:qFormat/>
    <w:uiPriority w:val="0"/>
    <w:pPr>
      <w:ind w:left="284"/>
    </w:pPr>
  </w:style>
  <w:style w:type="paragraph" w:styleId="49">
    <w:name w:val="annotation subject"/>
    <w:basedOn w:val="30"/>
    <w:next w:val="30"/>
    <w:semiHidden/>
    <w:qFormat/>
    <w:uiPriority w:val="0"/>
    <w:rPr>
      <w:b/>
      <w:bCs/>
    </w:rPr>
  </w:style>
  <w:style w:type="table" w:styleId="51">
    <w:name w:val="Table Grid"/>
    <w:basedOn w:val="50"/>
    <w:qFormat/>
    <w:uiPriority w:val="59"/>
    <w:pPr>
      <w:spacing w:before="120" w:line="280" w:lineRule="atLeast"/>
      <w:jc w:val="both"/>
    </w:pPr>
    <w:rPr>
      <w:rFonts w:ascii="New York" w:hAnsi="New York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3">
    <w:name w:val="Strong"/>
    <w:basedOn w:val="52"/>
    <w:qFormat/>
    <w:uiPriority w:val="0"/>
    <w:rPr>
      <w:b/>
      <w:bCs/>
    </w:rPr>
  </w:style>
  <w:style w:type="character" w:styleId="54">
    <w:name w:val="page number"/>
    <w:basedOn w:val="52"/>
    <w:qFormat/>
    <w:uiPriority w:val="0"/>
  </w:style>
  <w:style w:type="character" w:styleId="55">
    <w:name w:val="FollowedHyperlink"/>
    <w:basedOn w:val="52"/>
    <w:semiHidden/>
    <w:unhideWhenUsed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56">
    <w:name w:val="Emphasis"/>
    <w:basedOn w:val="52"/>
    <w:qFormat/>
    <w:uiPriority w:val="0"/>
    <w:rPr>
      <w:i/>
      <w:iCs/>
    </w:rPr>
  </w:style>
  <w:style w:type="character" w:styleId="57">
    <w:name w:val="Hyperlink"/>
    <w:qFormat/>
    <w:uiPriority w:val="99"/>
    <w:rPr>
      <w:color w:val="0000FF"/>
      <w:u w:val="single"/>
    </w:rPr>
  </w:style>
  <w:style w:type="character" w:styleId="58">
    <w:name w:val="annotation reference"/>
    <w:qFormat/>
    <w:uiPriority w:val="0"/>
    <w:rPr>
      <w:sz w:val="16"/>
      <w:szCs w:val="16"/>
    </w:rPr>
  </w:style>
  <w:style w:type="character" w:styleId="59">
    <w:name w:val="footnote reference"/>
    <w:semiHidden/>
    <w:qFormat/>
    <w:uiPriority w:val="0"/>
    <w:rPr>
      <w:b/>
      <w:position w:val="6"/>
      <w:sz w:val="16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AH"/>
    <w:basedOn w:val="64"/>
    <w:qFormat/>
    <w:uiPriority w:val="0"/>
    <w:rPr>
      <w:b/>
    </w:rPr>
  </w:style>
  <w:style w:type="paragraph" w:customStyle="1" w:styleId="64">
    <w:name w:val="TAC"/>
    <w:basedOn w:val="65"/>
    <w:link w:val="123"/>
    <w:qFormat/>
    <w:uiPriority w:val="0"/>
    <w:pPr>
      <w:jc w:val="center"/>
    </w:pPr>
  </w:style>
  <w:style w:type="paragraph" w:customStyle="1" w:styleId="65">
    <w:name w:val="TAL"/>
    <w:basedOn w:val="1"/>
    <w:link w:val="15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6">
    <w:name w:val="TF"/>
    <w:basedOn w:val="67"/>
    <w:qFormat/>
    <w:uiPriority w:val="0"/>
    <w:pPr>
      <w:keepNext w:val="0"/>
      <w:spacing w:before="0" w:after="240"/>
    </w:pPr>
  </w:style>
  <w:style w:type="paragraph" w:customStyle="1" w:styleId="67">
    <w:name w:val="TH"/>
    <w:basedOn w:val="1"/>
    <w:link w:val="12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NO"/>
    <w:basedOn w:val="1"/>
    <w:link w:val="133"/>
    <w:qFormat/>
    <w:uiPriority w:val="0"/>
    <w:pPr>
      <w:keepLines/>
      <w:ind w:left="1135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FP"/>
    <w:basedOn w:val="1"/>
    <w:qFormat/>
    <w:uiPriority w:val="0"/>
    <w:pPr>
      <w:spacing w:after="0"/>
    </w:pPr>
  </w:style>
  <w:style w:type="paragraph" w:customStyle="1" w:styleId="71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en-US" w:bidi="ar-SA"/>
    </w:rPr>
  </w:style>
  <w:style w:type="paragraph" w:customStyle="1" w:styleId="72">
    <w:name w:val="NW"/>
    <w:basedOn w:val="68"/>
    <w:qFormat/>
    <w:uiPriority w:val="0"/>
    <w:pPr>
      <w:spacing w:after="0"/>
    </w:pPr>
  </w:style>
  <w:style w:type="paragraph" w:customStyle="1" w:styleId="73">
    <w:name w:val="EW"/>
    <w:basedOn w:val="69"/>
    <w:qFormat/>
    <w:uiPriority w:val="0"/>
    <w:pPr>
      <w:spacing w:after="0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NF"/>
    <w:basedOn w:val="6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en-US" w:bidi="ar-SA"/>
    </w:rPr>
  </w:style>
  <w:style w:type="paragraph" w:customStyle="1" w:styleId="77">
    <w:name w:val="TAR"/>
    <w:basedOn w:val="65"/>
    <w:qFormat/>
    <w:uiPriority w:val="0"/>
    <w:pPr>
      <w:jc w:val="right"/>
    </w:pPr>
  </w:style>
  <w:style w:type="paragraph" w:customStyle="1" w:styleId="78">
    <w:name w:val="TAN"/>
    <w:basedOn w:val="65"/>
    <w:qFormat/>
    <w:uiPriority w:val="0"/>
    <w:pPr>
      <w:ind w:left="851" w:hanging="851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3">
    <w:name w:val="ZV"/>
    <w:basedOn w:val="82"/>
    <w:qFormat/>
    <w:uiPriority w:val="0"/>
    <w:pPr>
      <w:framePr w:y="16161"/>
    </w:pPr>
  </w:style>
  <w:style w:type="character" w:customStyle="1" w:styleId="84">
    <w:name w:val="ZGSM"/>
    <w:qFormat/>
    <w:uiPriority w:val="0"/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6">
    <w:name w:val="Editor's Note"/>
    <w:basedOn w:val="68"/>
    <w:qFormat/>
    <w:uiPriority w:val="0"/>
    <w:rPr>
      <w:color w:val="FF0000"/>
    </w:rPr>
  </w:style>
  <w:style w:type="paragraph" w:customStyle="1" w:styleId="87">
    <w:name w:val="B1"/>
    <w:basedOn w:val="14"/>
    <w:link w:val="134"/>
    <w:qFormat/>
    <w:uiPriority w:val="0"/>
    <w:pPr>
      <w:ind w:left="284" w:firstLine="0"/>
    </w:pPr>
  </w:style>
  <w:style w:type="paragraph" w:customStyle="1" w:styleId="88">
    <w:name w:val="B2"/>
    <w:basedOn w:val="13"/>
    <w:link w:val="135"/>
    <w:qFormat/>
    <w:uiPriority w:val="0"/>
    <w:pPr>
      <w:ind w:left="567" w:firstLine="0"/>
    </w:pPr>
  </w:style>
  <w:style w:type="paragraph" w:customStyle="1" w:styleId="89">
    <w:name w:val="B3"/>
    <w:basedOn w:val="12"/>
    <w:qFormat/>
    <w:uiPriority w:val="0"/>
    <w:pPr>
      <w:ind w:left="851" w:firstLine="0"/>
    </w:pPr>
  </w:style>
  <w:style w:type="paragraph" w:customStyle="1" w:styleId="90">
    <w:name w:val="B4"/>
    <w:basedOn w:val="42"/>
    <w:qFormat/>
    <w:uiPriority w:val="0"/>
    <w:pPr>
      <w:ind w:left="1134" w:firstLine="0"/>
    </w:pPr>
  </w:style>
  <w:style w:type="paragraph" w:customStyle="1" w:styleId="91">
    <w:name w:val="B5"/>
    <w:basedOn w:val="41"/>
    <w:qFormat/>
    <w:uiPriority w:val="0"/>
    <w:pPr>
      <w:ind w:left="1418" w:firstLine="0"/>
    </w:pPr>
  </w:style>
  <w:style w:type="paragraph" w:customStyle="1" w:styleId="92">
    <w:name w:val="ZTD"/>
    <w:basedOn w:val="80"/>
    <w:qFormat/>
    <w:uiPriority w:val="0"/>
    <w:pPr>
      <w:framePr w:hRule="auto" w:y="852"/>
    </w:pPr>
    <w:rPr>
      <w:i w:val="0"/>
      <w:sz w:val="40"/>
    </w:rPr>
  </w:style>
  <w:style w:type="character" w:customStyle="1" w:styleId="93">
    <w:name w:val="MTEquationSection"/>
    <w:qFormat/>
    <w:uiPriority w:val="0"/>
    <w:rPr>
      <w:rFonts w:ascii="Arial" w:hAnsi="Arial"/>
      <w:color w:val="FF0000"/>
      <w:sz w:val="24"/>
    </w:rPr>
  </w:style>
  <w:style w:type="paragraph" w:customStyle="1" w:styleId="94">
    <w:name w:val="Bulleted o 1"/>
    <w:basedOn w:val="1"/>
    <w:qFormat/>
    <w:uiPriority w:val="0"/>
    <w:pPr>
      <w:numPr>
        <w:ilvl w:val="0"/>
        <w:numId w:val="2"/>
      </w:numPr>
    </w:pPr>
  </w:style>
  <w:style w:type="paragraph" w:customStyle="1" w:styleId="95">
    <w:name w:val="text"/>
    <w:basedOn w:val="1"/>
    <w:qFormat/>
    <w:uiPriority w:val="0"/>
    <w:pPr>
      <w:spacing w:after="240"/>
    </w:pPr>
    <w:rPr>
      <w:sz w:val="24"/>
      <w:lang w:eastAsia="zh-CN"/>
    </w:rPr>
  </w:style>
  <w:style w:type="paragraph" w:customStyle="1" w:styleId="96">
    <w:name w:val="Equation"/>
    <w:basedOn w:val="1"/>
    <w:next w:val="1"/>
    <w:qFormat/>
    <w:uiPriority w:val="0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97">
    <w:name w:val="00 BodyText"/>
    <w:basedOn w:val="1"/>
    <w:qFormat/>
    <w:uiPriority w:val="0"/>
    <w:pPr>
      <w:spacing w:after="220"/>
    </w:pPr>
    <w:rPr>
      <w:rFonts w:ascii="Arial" w:hAnsi="Arial"/>
      <w:sz w:val="22"/>
    </w:rPr>
  </w:style>
  <w:style w:type="paragraph" w:customStyle="1" w:styleId="98">
    <w:name w:val="11 BodyText"/>
    <w:basedOn w:val="1"/>
    <w:qFormat/>
    <w:uiPriority w:val="0"/>
    <w:pPr>
      <w:spacing w:after="220"/>
      <w:ind w:left="1298"/>
    </w:pPr>
    <w:rPr>
      <w:rFonts w:ascii="Arial" w:hAnsi="Arial"/>
      <w:sz w:val="22"/>
    </w:rPr>
  </w:style>
  <w:style w:type="paragraph" w:customStyle="1" w:styleId="99">
    <w:name w:val="table"/>
    <w:basedOn w:val="95"/>
    <w:next w:val="95"/>
    <w:qFormat/>
    <w:uiPriority w:val="0"/>
    <w:pPr>
      <w:spacing w:after="0"/>
      <w:jc w:val="center"/>
    </w:pPr>
    <w:rPr>
      <w:sz w:val="20"/>
    </w:rPr>
  </w:style>
  <w:style w:type="paragraph" w:customStyle="1" w:styleId="100">
    <w:name w:val="body Char Char Char"/>
    <w:basedOn w:val="1"/>
    <w:qFormat/>
    <w:uiPriority w:val="0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101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102">
    <w:name w:val="body"/>
    <w:basedOn w:val="1"/>
    <w:qFormat/>
    <w:uiPriority w:val="0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103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character" w:customStyle="1" w:styleId="104">
    <w:name w:val="标题 1 Char"/>
    <w:link w:val="2"/>
    <w:qFormat/>
    <w:uiPriority w:val="0"/>
    <w:rPr>
      <w:rFonts w:ascii="Arial" w:hAnsi="Arial" w:eastAsia="宋体"/>
      <w:sz w:val="28"/>
      <w:lang w:val="en-GB" w:eastAsia="en-US"/>
    </w:rPr>
  </w:style>
  <w:style w:type="character" w:customStyle="1" w:styleId="105">
    <w:name w:val="标题 2 Char"/>
    <w:link w:val="3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106">
    <w:name w:val="标题 3 Char"/>
    <w:link w:val="4"/>
    <w:qFormat/>
    <w:uiPriority w:val="0"/>
    <w:rPr>
      <w:rFonts w:ascii="Arial" w:hAnsi="Arial" w:eastAsia="宋体"/>
      <w:sz w:val="20"/>
      <w:lang w:val="en-GB" w:eastAsia="en-US"/>
    </w:rPr>
  </w:style>
  <w:style w:type="character" w:customStyle="1" w:styleId="107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Char Char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0">
    <w:name w:val="Char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11">
    <w:name w:val="Char Char1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12">
    <w:name w:val="h4 Char Char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113">
    <w:name w:val="Char Char"/>
    <w:qFormat/>
    <w:uiPriority w:val="0"/>
    <w:rPr>
      <w:rFonts w:ascii="Arial" w:hAnsi="Arial"/>
      <w:sz w:val="22"/>
      <w:lang w:val="en-GB" w:eastAsia="en-US" w:bidi="ar-SA"/>
    </w:rPr>
  </w:style>
  <w:style w:type="paragraph" w:styleId="114">
    <w:name w:val="List Paragraph"/>
    <w:basedOn w:val="1"/>
    <w:link w:val="125"/>
    <w:qFormat/>
    <w:uiPriority w:val="34"/>
    <w:pPr>
      <w:numPr>
        <w:ilvl w:val="0"/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115">
    <w:name w:val="Reference"/>
    <w:basedOn w:val="69"/>
    <w:qFormat/>
    <w:uiPriority w:val="0"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116">
    <w:name w:val="副标题 Char"/>
    <w:link w:val="39"/>
    <w:qFormat/>
    <w:uiPriority w:val="0"/>
    <w:rPr>
      <w:rFonts w:ascii="Cambria" w:hAnsi="Cambria" w:eastAsia="Times New Roman" w:cs="Times New Roman"/>
      <w:sz w:val="24"/>
      <w:szCs w:val="24"/>
      <w:lang w:val="en-GB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8">
    <w:name w:val="批注文字 Char"/>
    <w:link w:val="30"/>
    <w:qFormat/>
    <w:uiPriority w:val="99"/>
    <w:rPr>
      <w:rFonts w:ascii="Times New Roman" w:hAnsi="Times New Roman"/>
      <w:lang w:val="en-GB"/>
    </w:rPr>
  </w:style>
  <w:style w:type="paragraph" w:customStyle="1" w:styleId="119">
    <w:name w:val="LGTdoc_본문"/>
    <w:basedOn w:val="1"/>
    <w:qFormat/>
    <w:uiPriority w:val="0"/>
    <w:pPr>
      <w:widowControl w:val="0"/>
      <w:overflowPunct/>
      <w:snapToGrid w:val="0"/>
      <w:spacing w:after="0" w:afterLines="5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120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121">
    <w:name w:val="Table_head"/>
    <w:basedOn w:val="1"/>
    <w:next w:val="1"/>
    <w:qFormat/>
    <w:uiPriority w:val="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122">
    <w:name w:val="Placeholder Text"/>
    <w:semiHidden/>
    <w:qFormat/>
    <w:uiPriority w:val="99"/>
    <w:rPr>
      <w:color w:val="808080"/>
    </w:rPr>
  </w:style>
  <w:style w:type="character" w:customStyle="1" w:styleId="123">
    <w:name w:val="TAC Char"/>
    <w:link w:val="64"/>
    <w:qFormat/>
    <w:uiPriority w:val="0"/>
    <w:rPr>
      <w:rFonts w:ascii="Arial" w:hAnsi="Arial"/>
      <w:sz w:val="18"/>
      <w:lang w:val="en-GB" w:eastAsia="en-US"/>
    </w:rPr>
  </w:style>
  <w:style w:type="character" w:customStyle="1" w:styleId="124">
    <w:name w:val="TH Char"/>
    <w:link w:val="67"/>
    <w:qFormat/>
    <w:uiPriority w:val="0"/>
    <w:rPr>
      <w:rFonts w:ascii="Arial" w:hAnsi="Arial"/>
      <w:b/>
      <w:lang w:val="en-GB" w:eastAsia="en-US"/>
    </w:rPr>
  </w:style>
  <w:style w:type="character" w:customStyle="1" w:styleId="125">
    <w:name w:val="列出段落 Char"/>
    <w:link w:val="114"/>
    <w:qFormat/>
    <w:uiPriority w:val="34"/>
    <w:rPr>
      <w:rFonts w:ascii="Times New Roman" w:hAnsi="Times New Roman" w:eastAsia="Calibri"/>
      <w:szCs w:val="22"/>
      <w:lang w:val="en-GB" w:eastAsia="en-US"/>
    </w:rPr>
  </w:style>
  <w:style w:type="paragraph" w:customStyle="1" w:styleId="126">
    <w:name w:val="References"/>
    <w:basedOn w:val="1"/>
    <w:qFormat/>
    <w:uiPriority w:val="0"/>
    <w:pPr>
      <w:numPr>
        <w:ilvl w:val="0"/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127">
    <w:name w:val="页脚 Char"/>
    <w:basedOn w:val="52"/>
    <w:link w:val="37"/>
    <w:qFormat/>
    <w:uiPriority w:val="99"/>
    <w:rPr>
      <w:rFonts w:ascii="Arial" w:hAnsi="Arial"/>
      <w:b/>
      <w:i/>
      <w:sz w:val="18"/>
      <w:lang w:eastAsia="en-US"/>
    </w:rPr>
  </w:style>
  <w:style w:type="character" w:customStyle="1" w:styleId="128">
    <w:name w:val="正文文本 Char"/>
    <w:basedOn w:val="52"/>
    <w:link w:val="32"/>
    <w:qFormat/>
    <w:uiPriority w:val="0"/>
    <w:rPr>
      <w:sz w:val="22"/>
      <w:szCs w:val="24"/>
      <w:lang w:eastAsia="en-US"/>
    </w:rPr>
  </w:style>
  <w:style w:type="table" w:customStyle="1" w:styleId="129">
    <w:name w:val="网格表 4 - 着色 11"/>
    <w:basedOn w:val="50"/>
    <w:qFormat/>
    <w:uiPriority w:val="49"/>
    <w:rPr>
      <w:sz w:val="22"/>
      <w:szCs w:val="22"/>
      <w:lang w:eastAsia="en-US"/>
    </w:r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cPr>
        <w:tcBorders>
          <w:top w:val="double" w:color="5B9BD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character" w:customStyle="1" w:styleId="130">
    <w:name w:val="题注 Char"/>
    <w:link w:val="28"/>
    <w:qFormat/>
    <w:uiPriority w:val="0"/>
    <w:rPr>
      <w:rFonts w:eastAsia="宋体"/>
      <w:bCs/>
      <w:i/>
      <w:lang w:eastAsia="en-US"/>
    </w:rPr>
  </w:style>
  <w:style w:type="paragraph" w:customStyle="1" w:styleId="131">
    <w:name w:val="Proposal"/>
    <w:basedOn w:val="1"/>
    <w:link w:val="132"/>
    <w:qFormat/>
    <w:uiPriority w:val="0"/>
    <w:pPr>
      <w:numPr>
        <w:ilvl w:val="0"/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132">
    <w:name w:val="Proposal Char"/>
    <w:basedOn w:val="52"/>
    <w:link w:val="131"/>
    <w:qFormat/>
    <w:uiPriority w:val="0"/>
    <w:rPr>
      <w:rFonts w:eastAsia="MS Mincho"/>
      <w:i/>
      <w:lang w:eastAsia="ja-JP"/>
    </w:rPr>
  </w:style>
  <w:style w:type="character" w:customStyle="1" w:styleId="133">
    <w:name w:val="NO Char"/>
    <w:basedOn w:val="52"/>
    <w:link w:val="68"/>
    <w:qFormat/>
    <w:uiPriority w:val="0"/>
    <w:rPr>
      <w:rFonts w:ascii="Times New Roman" w:hAnsi="Times New Roman"/>
      <w:lang w:eastAsia="en-US"/>
    </w:rPr>
  </w:style>
  <w:style w:type="character" w:customStyle="1" w:styleId="134">
    <w:name w:val="B1 Char1"/>
    <w:basedOn w:val="52"/>
    <w:link w:val="87"/>
    <w:qFormat/>
    <w:uiPriority w:val="0"/>
    <w:rPr>
      <w:lang w:eastAsia="en-US"/>
    </w:rPr>
  </w:style>
  <w:style w:type="character" w:customStyle="1" w:styleId="135">
    <w:name w:val="B2 Char"/>
    <w:basedOn w:val="52"/>
    <w:link w:val="88"/>
    <w:qFormat/>
    <w:uiPriority w:val="0"/>
    <w:rPr>
      <w:lang w:eastAsia="en-US"/>
    </w:rPr>
  </w:style>
  <w:style w:type="character" w:customStyle="1" w:styleId="136">
    <w:name w:val="明显强调1"/>
    <w:basedOn w:val="52"/>
    <w:qFormat/>
    <w:uiPriority w:val="21"/>
    <w:rPr>
      <w:i/>
      <w:iCs/>
      <w:color w:val="5B9BD5" w:themeColor="accent1"/>
      <w14:textFill>
        <w14:solidFill>
          <w14:schemeClr w14:val="accent1"/>
        </w14:solidFill>
      </w14:textFill>
    </w:rPr>
  </w:style>
  <w:style w:type="character" w:customStyle="1" w:styleId="137">
    <w:name w:val="不明显强调1"/>
    <w:basedOn w:val="5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customStyle="1" w:styleId="138">
    <w:name w:val="Figure"/>
    <w:basedOn w:val="1"/>
    <w:link w:val="140"/>
    <w:qFormat/>
    <w:uiPriority w:val="0"/>
    <w:pPr>
      <w:numPr>
        <w:ilvl w:val="0"/>
        <w:numId w:val="6"/>
      </w:numPr>
      <w:jc w:val="center"/>
    </w:pPr>
  </w:style>
  <w:style w:type="paragraph" w:customStyle="1" w:styleId="139">
    <w:name w:val="Table"/>
    <w:basedOn w:val="138"/>
    <w:link w:val="142"/>
    <w:qFormat/>
    <w:uiPriority w:val="0"/>
    <w:pPr>
      <w:numPr>
        <w:numId w:val="7"/>
      </w:numPr>
    </w:pPr>
  </w:style>
  <w:style w:type="character" w:customStyle="1" w:styleId="140">
    <w:name w:val="Figure Char"/>
    <w:basedOn w:val="52"/>
    <w:link w:val="138"/>
    <w:qFormat/>
    <w:uiPriority w:val="0"/>
    <w:rPr>
      <w:rFonts w:ascii="Times New Roman" w:hAnsi="Times New Roman"/>
      <w:lang w:eastAsia="en-US"/>
    </w:rPr>
  </w:style>
  <w:style w:type="paragraph" w:customStyle="1" w:styleId="141">
    <w:name w:val="Observation"/>
    <w:basedOn w:val="131"/>
    <w:link w:val="143"/>
    <w:qFormat/>
    <w:uiPriority w:val="0"/>
    <w:pPr>
      <w:numPr>
        <w:ilvl w:val="0"/>
        <w:numId w:val="8"/>
      </w:numPr>
      <w:ind w:left="0" w:firstLine="0"/>
    </w:pPr>
  </w:style>
  <w:style w:type="character" w:customStyle="1" w:styleId="142">
    <w:name w:val="Table Char"/>
    <w:basedOn w:val="140"/>
    <w:link w:val="139"/>
    <w:qFormat/>
    <w:uiPriority w:val="0"/>
    <w:rPr>
      <w:rFonts w:ascii="Times New Roman" w:hAnsi="Times New Roman"/>
      <w:lang w:eastAsia="en-US"/>
    </w:rPr>
  </w:style>
  <w:style w:type="character" w:customStyle="1" w:styleId="143">
    <w:name w:val="Observation Char"/>
    <w:basedOn w:val="132"/>
    <w:link w:val="141"/>
    <w:qFormat/>
    <w:uiPriority w:val="0"/>
    <w:rPr>
      <w:rFonts w:eastAsia="MS Mincho"/>
      <w:lang w:eastAsia="ja-JP"/>
    </w:rPr>
  </w:style>
  <w:style w:type="table" w:customStyle="1" w:styleId="144">
    <w:name w:val="Table Grid1"/>
    <w:basedOn w:val="50"/>
    <w:qFormat/>
    <w:uiPriority w:val="0"/>
    <w:rPr>
      <w:rFonts w:eastAsia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table" w:customStyle="1" w:styleId="145">
    <w:name w:val="Table Normal1"/>
    <w:basedOn w:val="50"/>
    <w:semiHidden/>
    <w:qFormat/>
    <w:uiPriority w:val="0"/>
    <w:rPr>
      <w:rFonts w:eastAsia="CG Times (WN)"/>
    </w:rPr>
  </w:style>
  <w:style w:type="character" w:customStyle="1" w:styleId="146">
    <w:name w:val="Subtle Emphasis1"/>
    <w:basedOn w:val="5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47">
    <w:name w:val="Intense Emphasis1"/>
    <w:basedOn w:val="52"/>
    <w:qFormat/>
    <w:uiPriority w:val="21"/>
    <w:rPr>
      <w:i/>
      <w:iCs/>
      <w:color w:val="5B9BD5" w:themeColor="accent1"/>
      <w14:textFill>
        <w14:solidFill>
          <w14:schemeClr w14:val="accent1"/>
        </w14:solidFill>
      </w14:textFill>
    </w:rPr>
  </w:style>
  <w:style w:type="character" w:customStyle="1" w:styleId="148">
    <w:name w:val="Subtle Reference1"/>
    <w:basedOn w:val="52"/>
    <w:qFormat/>
    <w:uiPriority w:val="31"/>
    <w:rPr>
      <w:smallCap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49">
    <w:name w:val="Book Title1"/>
    <w:basedOn w:val="52"/>
    <w:qFormat/>
    <w:uiPriority w:val="33"/>
    <w:rPr>
      <w:b/>
      <w:bCs/>
      <w:i/>
      <w:iCs/>
      <w:spacing w:val="5"/>
    </w:rPr>
  </w:style>
  <w:style w:type="character" w:customStyle="1" w:styleId="150">
    <w:name w:val="apple-converted-space"/>
    <w:basedOn w:val="52"/>
    <w:qFormat/>
    <w:uiPriority w:val="0"/>
  </w:style>
  <w:style w:type="paragraph" w:customStyle="1" w:styleId="151">
    <w:name w:val="正文1"/>
    <w:qFormat/>
    <w:uiPriority w:val="0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customStyle="1" w:styleId="152">
    <w:name w:val="B1 (文字)"/>
    <w:qFormat/>
    <w:uiPriority w:val="0"/>
    <w:rPr>
      <w:rFonts w:ascii="Times New Roman" w:hAnsi="Times New Roman" w:eastAsia="Times New Roman" w:cs="Times New Roman"/>
      <w:sz w:val="20"/>
      <w:szCs w:val="20"/>
      <w:lang w:val="en-GB"/>
    </w:rPr>
  </w:style>
  <w:style w:type="paragraph" w:customStyle="1" w:styleId="153">
    <w:name w:val="正文2"/>
    <w:qFormat/>
    <w:uiPriority w:val="0"/>
    <w:pPr>
      <w:spacing w:before="100" w:beforeAutospacing="1" w:after="18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customStyle="1" w:styleId="154">
    <w:name w:val="TAL Car"/>
    <w:basedOn w:val="52"/>
    <w:link w:val="65"/>
    <w:qFormat/>
    <w:uiPriority w:val="0"/>
    <w:rPr>
      <w:rFonts w:ascii="Arial" w:hAnsi="Arial" w:eastAsia="宋体"/>
      <w:sz w:val="18"/>
      <w:lang w:eastAsia="en-US"/>
    </w:rPr>
  </w:style>
  <w:style w:type="table" w:customStyle="1" w:styleId="155">
    <w:name w:val="普通表格1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普通表格2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普通表格3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8">
    <w:name w:val="Agreement"/>
    <w:basedOn w:val="1"/>
    <w:next w:val="159"/>
    <w:qFormat/>
    <w:uiPriority w:val="0"/>
    <w:pPr>
      <w:numPr>
        <w:ilvl w:val="0"/>
        <w:numId w:val="9"/>
      </w:numPr>
      <w:spacing w:before="60"/>
    </w:pPr>
    <w:rPr>
      <w:b/>
    </w:rPr>
  </w:style>
  <w:style w:type="paragraph" w:customStyle="1" w:styleId="159">
    <w:name w:val="Doc-text2"/>
    <w:basedOn w:val="1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  <w:lang w:eastAsia="en-GB"/>
    </w:rPr>
  </w:style>
  <w:style w:type="table" w:customStyle="1" w:styleId="160">
    <w:name w:val="Table Grid6"/>
    <w:basedOn w:val="50"/>
    <w:qFormat/>
    <w:uiPriority w:val="39"/>
    <w:pPr>
      <w:spacing w:after="180"/>
    </w:pPr>
    <w:rPr>
      <w:rFonts w:ascii="Tms Rmn" w:hAnsi="Tms Rm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1">
    <w:name w:val="b1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162">
    <w:name w:val="3GPP Normal Text Char"/>
    <w:link w:val="163"/>
    <w:qFormat/>
    <w:locked/>
    <w:uiPriority w:val="0"/>
    <w:rPr>
      <w:rFonts w:ascii="Times New Roman" w:hAnsi="Times New Roman" w:eastAsia="MS Mincho" w:cs="Times New Roman"/>
      <w:szCs w:val="24"/>
      <w:lang w:val="en-GB" w:eastAsia="en-GB"/>
    </w:rPr>
  </w:style>
  <w:style w:type="paragraph" w:customStyle="1" w:styleId="163">
    <w:name w:val="3GPP Normal Text"/>
    <w:basedOn w:val="32"/>
    <w:link w:val="162"/>
    <w:qFormat/>
    <w:uiPriority w:val="0"/>
    <w:pPr>
      <w:spacing w:after="60"/>
      <w:jc w:val="left"/>
    </w:pPr>
    <w:rPr>
      <w:rFonts w:eastAsia="MS Mincho"/>
      <w:lang w:val="en-GB" w:eastAsia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6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156B33-FE54-4BF7-8206-606715473FFD}">
  <ds:schemaRefs/>
</ds:datastoreItem>
</file>

<file path=customXml/itemProps3.xml><?xml version="1.0" encoding="utf-8"?>
<ds:datastoreItem xmlns:ds="http://schemas.openxmlformats.org/officeDocument/2006/customXml" ds:itemID="{9C2FF60E-EDDE-47F2-966E-A40547D413B7}">
  <ds:schemaRefs/>
</ds:datastoreItem>
</file>

<file path=customXml/itemProps4.xml><?xml version="1.0" encoding="utf-8"?>
<ds:datastoreItem xmlns:ds="http://schemas.openxmlformats.org/officeDocument/2006/customXml" ds:itemID="{DE437376-A7B6-47B7-A9FE-9D6C62534131}">
  <ds:schemaRefs/>
</ds:datastoreItem>
</file>

<file path=customXml/itemProps5.xml><?xml version="1.0" encoding="utf-8"?>
<ds:datastoreItem xmlns:ds="http://schemas.openxmlformats.org/officeDocument/2006/customXml" ds:itemID="{04BF5348-08CE-46A2-B6C7-D667930F0DC1}">
  <ds:schemaRefs/>
</ds:datastoreItem>
</file>

<file path=customXml/itemProps6.xml><?xml version="1.0" encoding="utf-8"?>
<ds:datastoreItem xmlns:ds="http://schemas.openxmlformats.org/officeDocument/2006/customXml" ds:itemID="{F91C0B0D-1C82-4E7D-BB51-AFA3A611A4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ZTE Corporation</Company>
  <Pages>1</Pages>
  <Words>537</Words>
  <Characters>2656</Characters>
  <Lines>1</Lines>
  <Paragraphs>1</Paragraphs>
  <TotalTime>1</TotalTime>
  <ScaleCrop>false</ScaleCrop>
  <LinksUpToDate>false</LinksUpToDate>
  <CharactersWithSpaces>3187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2020-04-10T11:34:00Z</dcterms:created>
  <dc:creator>ZTE Corporation</dc:creator>
  <cp:lastModifiedBy>ZTE</cp:lastModifiedBy>
  <cp:lastPrinted>2018-04-07T03:05:00Z</cp:lastPrinted>
  <dcterms:modified xsi:type="dcterms:W3CDTF">2022-08-12T06:06:50Z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2052-11.8.2.9022</vt:lpwstr>
  </property>
  <property fmtid="{D5CDD505-2E9C-101B-9397-08002B2CF9AE}" pid="11" name="ICV">
    <vt:lpwstr>B4658E8492ED4F2880B4C52AB6F81500</vt:lpwstr>
  </property>
</Properties>
</file>